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C-4208/2012 vom 17. Mai 2013</w:t>
      </w:r>
    </w:p>
    <w:p>
      <w:r>
        <w:t>Bundesverwaltungsgericht, 2013-05-17, DE</w:t>
      </w:r>
    </w:p>
    <w:p>
      <w:r>
        <w:rPr>
          <w:b/>
        </w:rPr>
        <w:t xml:space="preserve">Quelle: </w:t>
      </w:r>
      <w:r>
        <w:t>https://mcp.opencaselaw.ch/entscheid/bvger_C-4208_2012</w:t>
      </w:r>
    </w:p>
    <w:p>
      <w:r>
        <w:t>FR: TAF C-4208/2012 du 17 mai 2013</w:t>
      </w:r>
    </w:p>
    <w:p>
      <w:r>
        <w:t>IT: TAF C-4208/2012 del 17 maggio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13. Juli 2012 (act. 44)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bildet die Verfügung der Vorinstanz vom 13. Juli 2012 (act. 44), mit welcher bei einem Invaliditätsgrad (im Folgenden auch: IV-Grad) von 33 % der Anspruch auf eine IV-Rente abgewiesen worden ist. Streitig und zu prüfen ist die Rechtmässigkeit dieser Verfügung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ist Schweizer Staatsbürger und wohnt in Deutschland, sodass vorliegend in erster Linie Schweizer Recht anwendbar ist.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13. Juli 2012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das Verfügungsdatum vom 13. Juli 2012 sind vorliegend auch die Normen des vom Bundesrat auf den 1. Januar 2012 in Kraft gesetzten ersten Teils der 6. IV-Revision (IV-Revision 6a) anwendbar.</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Bundesgericht [BGer]) stellt diese Regelung nicht eine blosse Auszah­lungsvorschrift, sondern eine be­sondere Anspruchsvoraussetzung dar (BGE 121 V 275 E. 6c).</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Vorinstanz stützte sich beim Erlass der vorliegend angefochtenen Verfügung insbesondere auf die Stellungnahme von Dr. med. B._______, Facharzt für Allgemeine Medizin, vom RAD vom 3. April 2012 (act. 37). Dieses ärztliche Dokument sowie weitere sind nachfolgend zusammengefasst wiederzugeben und einer Würdigung zu unterziehen.</w:t>
      </w:r>
    </w:p>
    <w:p>
      <w:r>
        <w:rPr>
          <w:b/>
        </w:rPr>
        <w:t>E. 3.1</w:t>
      </w:r>
    </w:p>
    <w:p>
      <w:r>
        <w:t>Dr. med. B._______ stellte - in Kenntnis des auf dem Formular E 213 verfassten Arztberichts sowie weiterer Berichte - keine Hauptdiagnose. Als Nebendiagnosen mit Auswirkungen auf die Arbeitsfähigkeit führte er eine Chondromalazie des Knies links (ICD-10: M17.9 [Gonarthrose, nicht näher bezeichnet]) sowie eine Schwerhörigkeit des Innenohrs (ICD-10: H91.9 [Hörverlust, nicht näher bezeichnet, inkl. Schwerhörigkeit oder Taubheit]) auf. Auch diagnostizierte er ohne Auswirkungen auf die Arbeitsfähigkeit eine Hypertonie, einen Status nach einer Cholecystectomie, eine Adipositas per magna, einen Status nach SM Implantation, eine Psoriasis sowie ein Schlafapnoe Syndrom. Weiter berichtete Dr. med. B._______, der zuletzt als Wachmann tätig gewesene Versicherte weise eine Abnutzung der Kniegelenke auf und sei schwerhörig. Für diese Tätigkeit sei der Versicherte seit Oktober 2010 (zweiten Arthroskopie [E 213]) nicht mehr arbeitsfähig. In einer leidensadaptierten Verweisungstätigkeit sei er weiterhin arbeitsfähig. Die Adipositas, die Schlafapnoe sowie die Hypertonie seien nicht invalidisierend.</w:t>
      </w:r>
    </w:p>
    <w:p>
      <w:r>
        <w:rPr>
          <w:b/>
        </w:rPr>
        <w:t>E. 3.2.1</w:t>
      </w:r>
    </w:p>
    <w:p>
      <w:r>
        <w:t>Bei der Stellungnahme von Dr. med. B._______ vom 3. April 2012 handelt es sich um einen Bericht im Sinne von Art. 59 Abs. 2bis IVG (vgl. zum Sinn und Zweck dieser gesetzlichen Norm sowie Art. 49 IVV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3.2.2</w:t>
      </w:r>
    </w:p>
    <w:p>
      <w:r>
        <w:t>Wie bereits dargelegt wurde (vgl. E. 2.5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der Bericht von Dr. med. B._______ vom 3. April 2012 nicht über den Umfang einer Expertise verfügt, erfüllt er die von der Rechtsprechung an den Beweiswert gestellten Kriterien, da er sowohl schlüssig als auch überzeugend und in Kenntnis resp. Würdigung fachärztlicher Berichte abgefasst worden ist. Dass Dr. med. B._______ nicht über einen Facharzttitel auf dem Gebiet der Chirurgie verfügt, vermag vorliegend an der vollen Beweiskraft seines Berichts vom 3. April 2012 nichts zu ändern. Dies gilt auch für den nach Verfügungserlass vom 13. Juli 2012 von Dr. med. B._______ verfassten, im vorliegenden Verfahren ebenfalls zu berücksichtigende (vgl. zur Berücksichtigung von ärztlichen Berichten nach Verfügungserlass vgl. Urteil des BGer 8C_278/2011 vom 26. Juli 2011 E. 5.5, 9C_116/2010 vom 20. April 2010 E. 3.2.2; BGE 121 V 362 E. 1b, BGE 18 V 200 E. 3a und BGE 116 V 80 E. 6b) Ergänzungsbericht vom 18. Oktober 2012 (act. 47). Demnach lässt sich der gesundheitliche Zustand des Beschwerdeführers und dessen Auswirkungen auf die Arbeits- und Leistungsfähigkeit im massgeblichen Verfügungszeitpunkt vom 13. Juli 2012 zuverlässig beurteilen, und es sind keine zusätzlichen medizinischen Abklärungen vorzunehmen (zur antizipierten Beweiswürdigung vgl. BGE 122 V 157 E. 1d; SVR 2005 IV Nr. 8 S. 37 E. 6.2, 2003 AHV Nr. 4 S. 11 E. 4.2.1).</w:t>
      </w:r>
    </w:p>
    <w:p>
      <w:r>
        <w:rPr>
          <w:b/>
        </w:rPr>
        <w:t>E. 3.2.3</w:t>
      </w:r>
    </w:p>
    <w:p>
      <w:r>
        <w:t>Der Bericht von Dr. med. B._______ vom 3. April 2012 steht im Wesentlichen im Einklang mit der von Dr. med. A._______ am 17. November 2011 auf dem Formular E 213 abgegebenen Beurteilung. Diese Ärztin diagnostizierte eine Belastungs- und Bewegungseinschränkung beider Kniegelenke bei einem Knorpelschaden mit arthroskopisch-operativer Versorgung links 2008 und rechts 2010, eine beidseitig an Taubheit grenzende Schwerhörigkeit, einen AV-Block II Mobitz mit Synkope, einen Zustand nach einer Schrittmacherimplantation im August 2003, ein obstruktives Schlafapnoesyndrom mit klinisch suffizienter nCPAP-Therapie, eine Psoriasis vulgaris mit ausgeprägten Hauteffloreszenzen sowie eine Adipositas per magna mit gut eingestellter arterieller Hypertonie. Betreffend das Leistungskalkül führte Dr. med. A._______ insbesondere aus, die Leistungsfähigkeit des Versicherten sei aufgrund der Gesundheitsstörungen dauerhaft soweit eingeschränkt, dass ihm die zuletzt ausgeübte Tätigkeit als Wachmann nicht mehr zumutbar sei. Er sei jedoch in der Lage, leichte Tätigkeiten in überwiegend sitzender Arbeitsposition weiterhin vollschichtig auszuüben. Aus dem Umstand, dass Dr. med. A._______ betreffend die zuletzt verrichtete Tätigkeit als Sicherheitsmitarbeiter auf eine schlüssige Arbeitsplatzbeschreibung verzichtet hatte, wie dies von Dr. med. C._______, Fachärztin für Chirurgie, in ihrem Bericht vom 30. März 2012 korrekt bemerkt worden war (act. 43), kann der Beschwerdeführer nichts zu seinen Gunsten ableiten, weil ihm für diese Tätigkeit von den Dres. med. B._______ und A._______ ohnehin eine vollständige Arbeitsunfähigkeit attestiert worden war.</w:t>
      </w:r>
    </w:p>
    <w:p>
      <w:r>
        <w:rPr>
          <w:b/>
        </w:rPr>
        <w:t>E. 3.2.4</w:t>
      </w:r>
    </w:p>
    <w:p>
      <w:r>
        <w:t>Kein Widerspruch zu den Berichten der Dres. med. A._______ und B._______ vom 17. November 2011 und 3. April 2012 ergibt sich auch aus der sozialmedizinischen Stellungnahme von Dr. med. C._______, Fachärztin für Chirurgie, vom 30. März 2012. Diese berichtete, zusammenfassend ergebe sich bezüglich der Kniegelenke eine leicht verminderte Belastbarkeit, die vorwiegend auf der erheblichen Übergewichtigkeit beruhe, wobei wesentliche degenerative Veränderungen bisher offensichtlich nicht nachzuweisen gewesen und die beschriebenen Knorpelschäden lediglich für das linke Knie als "bis mittelgradig" einzustufen seien. Ansonsten seien nur beginnende Veränderungen nachzuweisen. Eine rentenrelevante Einschränkung der Gehstrecke sei medizinisch nicht begründbar. Der Versicherte sei in der Lage, öffentliche Verkehrsmittel zu benutzen. In quantitativer Hinsicht ergäben sich daraus keine Einschränkungen. Qualitativ seien Einschränkungen für Tätigkeiten mit überwiegendem Gehen und Stehen, längeren Arbeiten in kniender und hockender Position bzw. Arbeiten auf Leitern und Gerüsten vorhanden. Weitere Einschränkungen ergäben sich daraus nicht. An zweiter Stelle stehe eine erhebliche Hörminderung. Auch dies begründe keine quantitative Leistungsminderung, jedoch Einschränkungen in qualitativer Hinsicht, insbesondere für Tätigkeiten mit Anforderung an das Hörvermögen. Von Seiten des Herz-Kreislaufsystems finde sich eine Herzrhythmusstörung, die durch eine Schrittmacherimplantation erfolgreich behandelt sei, ausserdem ein Bluthochdruck, der ebenfalls einer medikamentösen Behandlung bedürfe, jedoch gut eingestellt sei. Es bestehe ausserdem, vermutlich als Folge des erheblichen Übergewichts, ein Schlafapnoesyndrom, welches seit 2008 mit einem CPAP-Gerät behandelt werde. Zusammenfassend ergäben sich aus diesen Diagnosen Einschränkungen im Hinblick auf Tätigkeiten in Nachtschicht sowie solche unter ständigem und erhöhtem Zeitdruck. Aus der Schuppenflechte mit ausgeprägten Hauterscheinungen resultierten lediglich Einschränkungen für Tätigkeiten mit Kontakt zu hautbelastenden Substanzen und besonderer Nässe und Schmutzbelastung am Arbeitsplatz. Insgesamt sei die Leistungsbeurteilung im Gutachten vom November 2011 schlüssig. Es ergäben sich Einschränkungen im Hinblick auf die körperliche Arbeitsschwere für schwere und andauernd mittelschwere sowie für ständige und oder überwiegend gehende und stehende Tätigkeiten. Ansonsten könne der Versicherte Arbeiten mit ständigem Sitzen, auch in wechselnder Arbeitshaltung sowie mehr als zeitweisem Gehen und Stehen weiterhin über sechsstündig verrichten.</w:t>
      </w:r>
    </w:p>
    <w:p>
      <w:r>
        <w:rPr>
          <w:b/>
        </w:rPr>
        <w:t>E. 3.2.5</w:t>
      </w:r>
    </w:p>
    <w:p>
      <w:r>
        <w:t>Aus dem Bericht des Hausarztes Dr. med. D._______, Facharzt für Allgemeinmedizin, vom 7. Februar 2012 (act. 42) kann der Beschwerdeführer nichts zu seinen Gunsten ableiten. Einerseits trägt das Bundesverwaltungsgericht der Erfahrungstatsache Rechnung, dass Dr. med. D._______ in seiner Eigenschaft als Hausarzt aufgrund seiner auftragsrechtlichen Stellung eher zu Gunsten des Versicherten berichtet hat (vgl. hierzu BGE 125 V 351 E. 3b cc; Entscheid des EVG I 655/05 vom 20. März 2006, E. 5.4). Andererseits legte die Chirurgin Dr. med. C._______ in ihrem Bericht vom 30. März 2012 (act. 44) in schlüssiger und überzeugender Weise dar, dass und weshalb sich aus dem Bericht von Dr. med. D._______ keine neuen medizinischen Gesichtspunkte ergäben. Dr. med. C._______ legte rechtsgenüglich dar, dass kein Hinweis auf eine hochgradige Funktionsbeeinträchtigung der Kniegelenke oder ein krankhaftes Geschehen vorliegt, welches eine wesentliche Einschränkung im Sinne einer rentenrelevanten Beeinträchtigung begründen könnte. Auch betreffend die von Dr. med. D._______ erwähnte Multimorbidität ist ihre Stellungnahme rechtsgenüglich, denn entscheidend sind ihre Ausführungen, wonach mehrere Krankheiten nicht automatisch Auswirkungen auf das Leistungsvermögen haben würden (vgl. hierzu BGE 132 V 65 E. 3.4 mit Hinweisen, wonach eine oder mehrere Diagnosen für sich alleine genommen keinen Schluss auf eine gesundheitlich bedingte Einschränkung in der Arbeitsfähigkeit zulassen).</w:t>
      </w:r>
    </w:p>
    <w:p>
      <w:r>
        <w:rPr>
          <w:b/>
        </w:rPr>
        <w:t>E. 3.2.6</w:t>
      </w:r>
    </w:p>
    <w:p>
      <w:r>
        <w:t>Hinsichtlich des Bescheids der AsA Mainz vom 18. August 2011, in welchem der Grad der Behinderung auf 80 % festgesetzt worden war (act. 16 resp. 25), ist abschliessend festzustellen, dass der Beschwerdeführer daraus ebenfalls nichts zu seinen Gunsten ableiten kann, denn sein allfälliger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Bundesverwaltungsgerichts C-6398/2009 vom 18. Mai 2012 E. 2.1 mit Hinweis auf Entscheid des EVG vom 11. De­zember 1981 i.S. D.; zum Grundsatz der freien Beweiswürdigung vgl. BGE 125 V 351 E. 3a).</w:t>
      </w:r>
    </w:p>
    <w:p>
      <w:r>
        <w:rPr>
          <w:b/>
        </w:rPr>
        <w:t>E. 4</w:t>
      </w:r>
    </w:p>
    <w:p>
      <w:r>
        <w:t>Hinsichtlich der Bemessung der Invalidität ergibt sich Folgendes:</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Weder die Einführung des ATSG noch die 4. IV-Revision haben daran etwas geändert (BGE 130 V 343 E. 3.4.2; RKUV 2004 U 529 S. 574 E. 1.2; statt vieler: Entscheid I 117/06 des EVG vom 23. Mai 2006, E. 2). Bezüglich der Anpassung an die Lohnentwicklung ist nach Geschlechtern zu differenzieren, d.h. es ist auf den Lohnindex für Frauen oder Männer abzustellen (BGE 129 V 408).</w:t>
      </w:r>
    </w:p>
    <w:p>
      <w:r>
        <w:rPr>
          <w:b/>
        </w:rPr>
        <w:t>E. 4.2</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 Lässt sich - wie im vorliegenden Fall -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Entscheid des EVG I 517/02 vom 30. Oktober 2002 E. 1.2).</w:t>
      </w:r>
    </w:p>
    <w:p>
      <w:r>
        <w:rPr>
          <w:b/>
        </w:rPr>
        <w:t>E. 4.3</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ebenfalls Tabellenlöhne gemäss den vom Bundesamt für Statistik herausgegebenen Lohnstrukturerhebungen (LSE)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4.4</w:t>
      </w:r>
    </w:p>
    <w:p>
      <w:r>
        <w:t>Die Vorinstanz hat gestützt auf die rechtsgenügliche Beurteilung von Dr. med. B._______ vom 3. April 2012 am 30. April resp. 1. Mai 2012 einen Einkommensvergleich erstellt und einen IV-Grad von (aufgerundet) 33 % ermittelt (act. 38). Da mit Blick auf die schlüssige und voll beweiskräftige Stellungnahme von Dr. med. B._______ der frühest mögliche Rentenbeginn im Oktober 2011 wäre, hätte die Vorinstanz im Rahmen der Ermittlung der beiden hypothetischen Vergleichseinkommen den Tabellenlohn der LSE 2010 der Nominallohnentwicklung von 2010 auf 2011 anpassen müssen. Wie von der Vorinstanz in korrekter Weise festgestellt, beträgt der Tabellenlohn der LSE 2010 für Männer in der Wirtschaftsabteilung Wach- und Sicherheitsdienste/Detekteien im Anforderungsniveau 3 Fr. 5'456.- pro Monat (vgl. www.bfs.admin.ch &gt; Themen &gt; Arbeit, Erwerb &gt; Publikationen &gt; die schweizerische Lohnstrukturerhebung 2010, Tabelle TA1, Ziff. 80, S. 27; zuletzt besucht am 11. März 2013). Unter Berücksichtigung der durchschnittlichen wöchentliche Arbeitszeit von 42.1 Stunden in dieser Abteilung (vgl. www.bfs.admin.ch &gt; Themen &gt; Arbeit, Er­werb &gt; Erwerbstätigkeit und Arbeitszeit &gt; detaillierte Daten &gt; Statistik der betriebsüblichen Arbeits­zeit &gt; Be­triebsübliche Arbeitszeit nach Wirtschaftsabteilungen, in Stun­den pro Woche 1990-2011, Wirtschaftszweig Ziff. 77 + 79-82; zuletzt besucht am 5. März 2013) und der Nominallohnentwicklung von 2010 auf 2011 (2010: 100, 2011: 100.6; vgl. www.bfs.admin.ch &gt; Arbeit, Erwerb &gt; Löhne, Erwerbseinkommen &gt; detaillierte Daten &gt; Schweizerischer Lohnindex nach Branche [Nominallohn], Ziff. 77-82; zuletzt besucht am 11. März 2013) ergibt sich ein jährliches hypothetisches Valideneinkommen von Fr. 69'323.-.</w:t>
      </w:r>
    </w:p>
    <w:p>
      <w:r>
        <w:rPr>
          <w:b/>
        </w:rPr>
        <w:t>E. 4.5</w:t>
      </w:r>
    </w:p>
    <w:p>
      <w:r>
        <w:t>Im Wesentlichen zu keinen Beanstandungen Anlass gibt auch das von der Vorinstanz zu Gunsten des Beschwerdeführers ermittelte hypothetische Invalideneinkommen von durchschnittlich Fr. 51'603.- pro Jahr (Fr. 4'300.25 x 12), in welchem die durchschnittlichen wöchentlichen Arbeitszeiten diverser Wirtschaftsabteilungen (Herstellung von Leder, Lederwaren und Schuhen [Ziff. 15] und Detailhandel [Ziff. 47]) für das Jahr 2011 - entsprechend 2010 - bereits korrekt berücksichtigt wurden. Betreffend die Wirtschaftsabteilung Reparatur von Gebrauchsgüter [Ziff. 95]) ergibt sich, dass die betriebsübliche wöchentliche Arbeitszeit im Jahre 2011 42 Stunden betrug und der von der Vorinstanz errechnete Wert von Fr. 3'837.24 auf Fr. 3'855.60 zu korrigieren ist, was zur Folge hat, dass das Durchschnittseinkommen von Fr. 4'300.25 auf Fr. 4'318.60 pro Monat steigt. Der Nominallohnentwicklung von 2010 auf 2011 angepasst (2010: 100, 2011: 101; vgl. www.bfs.admin.ch Arbeit, Erwerb Löhne, Erwerbseinkommen detaillierte Daten Schweizerischer Lohnindex nach Branche [Nominallohn], Totalwert; zuletzt besucht am 11. März 2013) ergibt sich somit als Zwischenergebnis ein hypothetisches Invalideneinkommen von jährlich Fr. 52'341.-. Unter Berücksichtigung des von der Vorinstanz korrekt vorgenommenen leidensbedingten Abzugs von 10 % (vgl. zum Eingriff ins Verwaltungsermessen BGE 126 V 75 E. 6, 123 V 150 E. 2 mit Hinweisen) ergibt sich somit ein hypothetisches Invalideneinkommen von Fr. 47'107.- pro Jahr.</w:t>
      </w:r>
    </w:p>
    <w:p>
      <w:r>
        <w:rPr>
          <w:b/>
        </w:rPr>
        <w:t>E. 4.6</w:t>
      </w:r>
    </w:p>
    <w:p>
      <w:r>
        <w:t>Aus der Gegenüberstellung eines hypothetischen Valideneinkommens von Fr. 69'323.- pro Jahr und eines hypothetischen Invalideneinkommens von jährlich Fr. 47'107.- resultiert bei einer Erwerbseinbusse Fr. 22'216.- ein rentenausschliessender IV-Grad von gerundet 32 % (zur Rundung vgl. 130 V 121 E. 3.2). Selbst wenn mit Blick auf die beim Beschwerdeführer vorhandenen gesundheitlichen Beeinträchtigungen ein leidensbedingter Abzug von 15 % vom hypothetischen Invalideneinkommen Berücksichtigung fände, würde bei einem IV-Grad von gerundet 36 % kein Anspruch auf eine Rente bestehen (Fr. 69'323.- - [Fr. 52'341.- x 0.85 = Fr. 44'490.- ] : 69'323 x 100).</w:t>
      </w:r>
    </w:p>
    <w:p>
      <w:r>
        <w:rPr>
          <w:b/>
        </w:rPr>
        <w:t>E. 5</w:t>
      </w:r>
    </w:p>
    <w:p>
      <w:r>
        <w:t>Aufgrund der vorstehenden Erwägungen erweist sich die angefochtene Verfügung der Vorinstanz vom 13. Juli 2012 im Ergebnis als rechtens, weshalb die dagegen erhobene Beschwerde vom 13. August 2012 als unbegründet abzuweisen ist.</w:t>
      </w:r>
    </w:p>
    <w:p>
      <w:r>
        <w:rPr>
          <w:b/>
        </w:rPr>
        <w:t>E. 6</w:t>
      </w:r>
    </w:p>
    <w:p>
      <w:r>
        <w:t>Zu befinden bleibt noch über die Verfahrenskosten und eine allfällige Parteientschädigung.</w:t>
      </w:r>
    </w:p>
    <w:p>
      <w:r>
        <w:rPr>
          <w:b/>
        </w:rPr>
        <w:t>E. 6.1</w:t>
      </w:r>
    </w:p>
    <w:p>
      <w:r>
        <w:t>Die Verfahrenskosten sind an sich der unterliegenden Partei aufzuerlegen (Art. 63 Abs. 1 VwVG). Mit Zwischenverfügung vom 14. Februar 2013 (B-act. 16) wurde das Gesuch des Beschwerdeführers um Gewährung der unentgeltlichen Prozessführung gutgeheissen, weshalb auf die Erhebung von Verfahrenskosten zu verzichten ist.</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VGKE), weshalb keine solche zuzusprechen ist.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