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C-4207/2021 vom 19. August 2021</w:t>
      </w:r>
    </w:p>
    <w:p>
      <w:r>
        <w:t>Bundesverwaltungsgericht, 2021-08-19, DE</w:t>
      </w:r>
    </w:p>
    <w:p>
      <w:r>
        <w:rPr>
          <w:b/>
        </w:rPr>
        <w:t xml:space="preserve">Quelle: </w:t>
      </w:r>
      <w:r>
        <w:t>https://mcp.opencaselaw.ch/entscheid/bvger_C-4207_2021_d20210819</w:t>
      </w:r>
    </w:p>
    <w:p>
      <w:r>
        <w:t>FR: TAF C-4207/2021 du 19 août 2021</w:t>
      </w:r>
    </w:p>
    <w:p>
      <w:r>
        <w:t>IT: TAF C-4207/2021 del 19 agosto 2021</w:t>
      </w:r>
    </w:p>
    <w:p>
      <w:pPr>
        <w:pStyle w:val="Heading2"/>
      </w:pPr>
      <w:r>
        <w:t>Regeste</w:t>
      </w:r>
    </w:p>
    <w:p>
      <w:r>
        <w:t>Rentenanspruch | Invalidenversicherung, Rentenanspruch, Verfügung vom 19. August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50 Abs. 1 und Art. 52 Abs. 1 VwVG; BVGer act. 6).</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C-4207/2021 Seite 4</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Der Beschwerdeführer ist Schweizer Staatsbürger mit Wohnsitz in Thailand. Zwischen der Schweiz und Thailand besteht kein Staatsvertrag über Leistungen der Alters-, Hinterlassenen- und Invalidenversicherung. Somit ist schweizerisches Recht massgebend.</w:t>
      </w:r>
    </w:p>
    <w:p>
      <w:r>
        <w:rPr>
          <w:b/>
        </w:rPr>
        <w:t>E. 2.5</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19. August 2021 in Kraft standen; weiter aber auch Vor- 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 gen, die in diesem Zusammenhang vorzunehmen sind, ist Folgendes vor- auszuschicken:</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w:t>
      </w:r>
    </w:p>
    <w:p>
      <w:r>
        <w:t>C-4207/2021 Seite 5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oder in einem Mitgliedstaat der EU haben (Art. 29 Abs. 4 IVG; Art. 7 VO [EG] 883/2004; vgl. BGE 130 V 253 E. 2.3 und E. 3.1).</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C-4207/2021 Seite 6 muss über die notwendigen fachlichen Qualifikationen verfügen (Urteil des BGer 9C_555/2017 vom 22. November 2017 E. 3.1 mit Hinweisen).</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w:t>
      </w:r>
    </w:p>
    <w:p>
      <w:r>
        <w:t>C-4207/2021 Seite 7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3.6</w:t>
      </w:r>
    </w:p>
    <w:p>
      <w:r>
        <w:t>Geht es um psychische Erkrankungen sind für die Beurteilung der Ar- 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t>C-4207/2021 Seite 8</w:t>
      </w:r>
    </w:p>
    <w:p>
      <w:r>
        <w:rPr>
          <w:b/>
        </w:rPr>
        <w:t>E. 3.7</w:t>
      </w:r>
    </w:p>
    <w:p>
      <w:r>
        <w:t>Laut Art. 43 Abs. 1 ATSG hat der Versicherungsträger (und gemäss Art. 61 lit. c ATSG auch das Sozialversicherungsgericht) den rechtserheb- lichen Sachverhalt nach dem Untersuchungsgrundsatz abzuklären, und zwar richtig und vollständig, so dass gestützt darauf die Verfügung über die jeweils in Frage stehende Leistung ergehen kann (Art. 49 ATSG;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 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 ständigkeit und / oder Richtigkeit der bisher getroffenen Tatsachenfeststel- lung bestehen, ist weiter zu ermitteln, soweit von zusätzlichen Abklärungs- massnahmen noch neue wesentliche Erkenntnisse zu erwarten sind (Urteil des BGer 8C_616/2013 vom 28. Januar 2014 E. 2.1 mit Hinweisen).</w:t>
      </w:r>
    </w:p>
    <w:p>
      <w:r>
        <w:rPr>
          <w:b/>
        </w:rPr>
        <w:t>E. 4</w:t>
      </w:r>
    </w:p>
    <w:p>
      <w:r>
        <w:t>Anfechtungsobjekt und damit Begrenzung des Streitgegenstandes des vorliegenden Beschwerdeverfahrens (vgl. BGE 131 V 164 E. 2.1) bildet die Verfügung vom 19. August 2021. Streitig und vom Bundesverwaltungsge- richt zu prüfen ist der Anspruch des Beschwerdeführers auf eine schwei- zerische Invalidenrente.</w:t>
      </w:r>
    </w:p>
    <w:p>
      <w:r>
        <w:rPr>
          <w:b/>
        </w:rPr>
        <w:t>E. 4.1</w:t>
      </w:r>
    </w:p>
    <w:p>
      <w:r>
        <w:t>Der RAD-Allgemeinmedizinerin und der RAD-Psychiaterin zufolge ist der Versicherten in der letztmaligen Tätigkeit als Senior Projektleiter nicht beeinträchtigt. Trotz einem Status nach Herzinfarkt (wahrscheinlich im Juli 2016), Adipositas (130 kg / 188 cm), arterieller Hypertonie, einem Status nach embolischem Verschluss der rechten Kniekehle (vor Juli 2014) und einem Status nach «Tibiafx» links mit Plattenosteosynthese (2018) wurde die Arbeitsunfähigkeit diesbezüglich mit 0 % angegeben (act. 77 f.). Beide RAD-Ärztinnen stützten sich bei der Beurteilung ausschliesslich auf die Ak- ten, zur Hauptsache auf den psychiatrischen und kardiologischen Bericht</w:t>
      </w:r>
    </w:p>
    <w:p>
      <w:r>
        <w:t>C-4207/2021 Seite 9 thailändischer Ärzte vom 1. März 2021 (act. 74), und nahmen selber keine eigene Untersuchung des Versicherten vor. Die Begründung fiel sowohl bei der RAD-Allgemeinmedizinerin als auch bei der RAD-Psychiaterin knapp aus. 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w:t>
      </w:r>
    </w:p>
    <w:p>
      <w:r>
        <w:rPr>
          <w:b/>
        </w:rPr>
        <w:t>E. 4.2</w:t>
      </w:r>
    </w:p>
    <w:p>
      <w:r>
        <w:t>Der psychiatrische und kardiologische Bericht, der auf einer Untersu- chung in einem thailändischen Spital am 1. März 2021 beruht, ist nicht als (voll) beweiskräftig zu qualifizieren (act. 74). Der Arztbericht hat nur rudi- mentären Charakter und ist für die streitigen Belange weder umfassend noch ausreichend, was im Übrigen auch für sämtliche anderen Unterlagen im aktuellen Dossier gilt. Es handelt sich nach schweizerischem Standard nicht um ein eigentliches Gutachten mit vertiefter Darstellung der Untersu- chungsbefunde und begründeten Schlussfolgerungen. Im psychiatrischen Bericht fehlt insbesondere eine Bezugnahme auf die beachtlichen syste- matisierten Indikatoren (vgl. die Erwägung 3.6). Auch eine Diskussion der geltend gemachten schweren Depression und des kritischen Alkoholkon- sums fand nicht statt (vgl. BVGer act. 1, Seite 11). Aufgrund der strengen Anforderungen bestehen (nicht bloss geringe) Zweifel an der Zuverlässig- keit und Schlüssigkeit der ärztlichen Feststellungen. Nachdem die Akten für die streitigen Belange keine beweistauglichen Unterlagen enthalten, können die beiden Stellungnahmen der versicherungsinternen RAD-Ärzt- innen keine abschliessende Beurteilungsgrundlage bilden, sondern nur zu weitergehenden Abklärungen Anlass geben (vgl. act. 77 f.). Eine Berentung allein aufgrund der aktenkundigen Arztberichte scheidet im vorliegenden Fall jedenfalls aus.</w:t>
      </w:r>
    </w:p>
    <w:p>
      <w:r>
        <w:rPr>
          <w:b/>
        </w:rPr>
        <w:t>E. 4.3</w:t>
      </w:r>
    </w:p>
    <w:p>
      <w:r>
        <w:t>Hinzu kommt, dass der Versicherte von den thailändischen Ärzten für eine Tätigkeit im Büro nur halbtags arbeitsfähig bzw. dafür sogar zu «100 % unfit» eingestuft wurde (act. 74, Seite 8, 11). Damit wurde die Arbeitsfä- higkeit von den thailändischen Ärzten, die den Versicherten im Gegensatz zu den RAD-Ärztinnen selber untersucht haben, doch erheblich anders und schlechter eingeschätzt. Diese Diskrepanz nährt die ohnehin bestehenden Zweifel zusätzlich. Ob der Versicherte in einer Bürotätigkeit nun zu 0, zu 50 oder zu 100 % arbeitsfähig ist, kann nicht zuverlässig bestimmt werden.</w:t>
      </w:r>
    </w:p>
    <w:p>
      <w:r>
        <w:t>C-4207/2021 Seite 10 Schliesslich fand bislang keine vertiefte Auseinandersetzung mit der letzt- maligen, vermutlich anspruchsvollen und gut bezahlten Tätigkeit als Senior Projektleiter statt. Auch der «Fragebogen für Arbeitgebende» gibt keinen Aufschluss über die konkreten Aufgaben (act. 20). Nachdem der Versi- cherte 2015 - also noch vor dem Herzinfarkt 2016 - in ein Burnout geriet, ist die Zumutbarkeit dieser Tätigkeit nicht vorschnell anzunehmen. Es ist denkbar, dass dem Versicherten nur noch eine weniger verantwortungs- volle (und entsprechend tiefer entlöhnte) Tätigkeit im Büro zugemutet wer- den kann. Somit muss offengelassen werden, welches Invalideneinkom- men mit dem Valideneinkommen von Fr. 149'000.- zu vergleichen ist.</w:t>
      </w:r>
    </w:p>
    <w:p>
      <w:r>
        <w:rPr>
          <w:b/>
        </w:rPr>
        <w:t>E. 5</w:t>
      </w:r>
    </w:p>
    <w:p>
      <w:r>
        <w:t>Nach dem Gesagten lassen sich Gesundheitszustand und Arbeitsfähigkeit aufgrund der Aktenlage nicht zuverlässig beurteilen. Die angefochtene Ver- fügung ist aufzuheben. Nachdem die vorhandenen Akten für die streitigen Belange keine beweistauglichen Unterlagen enthalten, besteht Anlass zu weitergehenden Abklärungen. Zum weiteren Vorgehen ist Folgendes zu er- wägen:</w:t>
      </w:r>
    </w:p>
    <w:p>
      <w:r>
        <w:rPr>
          <w:b/>
        </w:rPr>
        <w:t>E. 5.1</w:t>
      </w:r>
    </w:p>
    <w:p>
      <w:r>
        <w:t>Der Beweis über sozialversicherungsrechtliche Ansprüche ist schwer- gewichtig auf Stufe des Administrativverfahrens zu führen (BGE 137 V 210 E. 2.2.2), auch wenn das Gericht reformatorisch entscheiden kann (Art. 61 VwVG). Nach bundesgerichtlicher Praxis ist ein Verfahren jedenfalls zu- rückzuweisen, wenn die Ergänzung eines Gutachtens oder aber die not- wendige Erhebung einer bisher völlig ungeklärten Frage ansteht (BGE 137 V 210 E. 4.4.1.4). Da Gesundheitszustand und Arbeitsfähigkeit des Be- schwerdeführers als zweifelhaft und somit ungeklärt gelten müssen, ist die vorliegende Sache an die Vorinstanz zurückzuweisen. Würde eine gravie- rend mangelhafte Sachverhaltsabklärung im Verwaltungsverfahren stets durch die Einholung eines Gerichtsgutachtens im Beschwerdeverfahren korrigiert, bestünde die konkrete Gefahr der unerwünschten Verlagerung der den Durchführungsorganen vom Gesetz übertragenen Pflicht zur Ab- klärung des rechtserheblichen medizinischen Sachverhalts auf das Gericht mit entsprechender zeitlicher und personeller Inanspruchnahme der Res- sourcen (BGE 137 V 210 E. 4.2; Urteil des BVGer C-1358/2014 vom 11. Dezember 2015 E. 5). Die Verwaltung soll zudem nicht dazu verleitet wer- den, das Gericht die eigentliche Abklärungsarbeit machen zu lassen (vgl. dazu MIRIAM LENDFERS, Sachverständige im Verwaltungsverfahren, in: Ueli Kieser/Miriam Lendfers [Hrsg.], Jahrbuch zum Sozialversicherungsrecht 2016, S. 187; Urteil des BVGer C-2907/2018).</w:t>
      </w:r>
    </w:p>
    <w:p>
      <w:r>
        <w:t>C-4207/2021 Seite 11</w:t>
      </w:r>
    </w:p>
    <w:p>
      <w:r>
        <w:rPr>
          <w:b/>
        </w:rPr>
        <w:t>E. 5.2</w:t>
      </w:r>
    </w:p>
    <w:p>
      <w:r>
        <w:t>Um eine vollständige und umfassende Beurteilung des Gesundheits- zustands und der Arbeitsfähigkeit zu ermöglichen, erscheint die Durchfüh- rung einer interdisziplinären medizinischen Begutachtung unumgänglich. Die medizinische Aktenlage ist hierfür vorgängig zu aktualisieren, sodass der Verlauf bis zum Zeitpunkt der Begutachtung möglichst lückenlos beur- teilt werden kann. Soweit der Beschwerdeführer über medizinische Unter- lagen verfügt, die der Vorinstanz noch nicht zugänglich gemacht wurden, sind ihr diese umgehend zur Verfügung zu stellen. Zu nennen sind hier namentlich allfällige Unterlagen zur früheren Psychotherapie (2014). Die Vorinstanz hat den Gutachtern sämtliche medizinischen Unterlagen zu- gänglich zu machen, wobei die Unterlagen in thailändischer Sprache ins Deutsche zu übersetzen sind. Angezeigt erscheint eine Begutachtung in den Fachdisziplinen Kardiologie / Innere Medizin, Orthopädie und Psychia- trie. Ob neben den genannten Fachdisziplinen noch weitere Spezialisten beigezogen werden, ist dem pflichtgemessen Ermessen der Gutachter zu überlassen, zumal es primär ihre Aufgabe ist, aufgrund der konkreten Fra- gestellung über die erforderlichen Untersuchungen zu befinden (vgl. dazu Urteil des BGer 8C_124/2008 vom 17. Oktober 2008 E. 6.3.1). Im Falle einer psychiatrischen Erkrankung wie der geltend gemachten schweren Depression wäre ein strukturiertes Beweisverfahren nach BGE 141 V 281 durchzuführen (BGE 143 V 409; BGE 143 V 418; vgl. BVGer act. 1, Seite 11).</w:t>
      </w:r>
    </w:p>
    <w:p>
      <w:r>
        <w:rPr>
          <w:b/>
        </w:rPr>
        <w:t>E. 5.3</w:t>
      </w:r>
    </w:p>
    <w:p>
      <w:r>
        <w:t>Mit der interdisziplinären Begutachtung kann sichergestellt werden, dass alle relevanten Gesundheitsschädigungen erfasst und die daraus je- weils abgeleiteten Einflüsse auf die Arbeitsfähigkeit würdigend in einem Gesamtergebnis ausgedrückt werden (vgl. dazu SVR 2008 IV Nr. 15 S. 44, E. 2.1; Urteil des BVGer C-2713/2015 vom 13. Oktober 2016 E. 5.1). Die anstehende Begutachtung hat in der Schweiz zu erfolgen, zumal die Ab- klärungsstelle mit den Grundsätzen der schweizerischen Versicherungs- medizin vertraut sein muss. Die psychiatrische Exploration hat antrags- gemäss in deutscher Sprache zu erfolgen (vgl. BVGer act. 1, Seite 11 mit den entsprechenden Einwänden gegen die durchgeführte psychiatrische Untersuchung in einem thailändischen Spital am 1. März 2021). Vertieft zu prüfen sind namentlich die Zumutbarkeit der letztmaligen, vermutlich an- spruchsvollen und gut bezahlten Tätigkeit als Senior Projektleiter sowie der Zuschnitt einer allfälligen Verweistätigkeit. Dem Beschwerdeführer ist das rechtliche Gehör zu gewähren und es ist ihm Gelegenheit zu geben, Zu- satzfragen zu stellen (BGE 137 V 210 E. 3.4.2.9). Die Gutachterauswahl erfolgt bei polydisziplinären Begutachtungen in der Schweiz nach dem Zu-</w:t>
      </w:r>
    </w:p>
    <w:p>
      <w:r>
        <w:t>C-4207/2021 Seite 12 fallsprinzip (vgl. dazu BGE 139 V 349 E. 5.2.1), was im Interesse der Ver- fahrensbeteiligten liegt. Auf der Grundlage des interdisziplinären Gutach- tens hat die Vorinstanz erneut über den Rentenanspruch des Beschwerde- führers zu befinden. Sein Invaliditätsgrad ist im Rahmen eines Einkom- mensvergleichs zu bemessen.</w:t>
      </w:r>
    </w:p>
    <w:p>
      <w:r>
        <w:rPr>
          <w:b/>
        </w:rPr>
        <w:t>E. 6</w:t>
      </w:r>
    </w:p>
    <w:p>
      <w:r>
        <w:t>Zusammenfassend ist festzuhalten, dass sich der Rentenanspruch des Be- schwerdeführers aufgrund der bestehenden Aktenlage nicht mit überwie- gender Wahrscheinlichkeit beurteilen lässt. Die Beschwerde wird daher in- soweit gutgeheissen, als die angefochtene Verfügung aufgehoben und die Sache zur weiteren Abklärung und Neubeurteilung im Sinne der Erwägung 5 an die Vorinstanz zurückgewiesen wird.</w:t>
      </w:r>
    </w:p>
    <w:p>
      <w:r>
        <w:rPr>
          <w:b/>
        </w:rPr>
        <w:t>E. 7</w:t>
      </w:r>
    </w:p>
    <w:p>
      <w:r>
        <w:t>Zu befinden bleibt noch über die Verfahrenskosten und eine allfällige Par- teientschädigung.</w:t>
      </w:r>
    </w:p>
    <w:p>
      <w:r>
        <w:rPr>
          <w:b/>
        </w:rPr>
        <w:t>E. 7.1</w:t>
      </w:r>
    </w:p>
    <w:p>
      <w:r>
        <w:t>Die Verfahrenskosten sind in der Regel der unterliegenden Partei auf- zuerlegen (Art. 63 Abs. 1 VwVG). Die Rückweisung der Sache an die Vor- instanz zu ergänzenden Abklärungen gilt praxisgemäss als vollständiges Obsiegen der beschwerdeführenden Partei (vgl. BGE 132 V 215 E. 6, Urteil BGer 9C_868/2013 vom 24. März 2014 E. 6). Dem Beschwerdeführer sind keine Verfahrenskosten aufzuerlegen (vgl. BVGer act. 6). Der Vorinstanz als unterliegende Partei werden keine Verfahrenskosten auferlegt (Art. 63 Abs. 2 VwVG). Im Ergebnis werden keine Verfahrenskosten erhoben.</w:t>
      </w:r>
    </w:p>
    <w:p>
      <w:r>
        <w:rPr>
          <w:b/>
        </w:rPr>
        <w:t>E. 7.2</w:t>
      </w:r>
    </w:p>
    <w:p>
      <w:r>
        <w:t>Der obsiegende, durch Rechtsanwalt Stephan Weber vertretene Be- schwerdeführer hat gemäss Art. 64 Abs. 1 VwVG in Verbindung mit Art. 7 ff. des Reglements vom 21. Februar 2008 über die Kosten und Entschädi- gungen vor dem Bundesverwaltungsgericht (VGKE, SR 173.320.2) An- spruch auf eine Parteientschädigung zu Lasten der Verwaltung. Rechtsan- walt Stephan Weber reichte am 2. Februar 2022 eine Kostennote ein, die bis auf den Betrag von Fr. 130.- für Fotokopien nachvollziehbar ist (BVGer act. 7). Soweit ersichtlich wurde nur die angefochtene Verfügung kopiert, was mit einem Betrag von Fr. 2.- abzugelten ist (vgl. Art. 11 Abs. 4 VGKE). Inklusive Auslagen, aber ohne Mehrwertsteuer resultiert eine Parteient- schädigung von Fr. 2’017.90 (vgl. zur Mehrwertsteuer Art. 1 Abs. 2 Bst. a MWSTG [SR 641.20] i.V.m. Art. 8 Abs. 1 MWSTG und Art. 9 Abs. 1 Bst. c VGKE). Die Parteientschädigung ist von der Vorinstanz nach Eintritt der Rechtskraft des vorliegenden Urteils zu leisten.</w:t>
      </w:r>
    </w:p>
    <w:p>
      <w:r>
        <w:t>C-4207/2021 Seite 13</w:t>
      </w:r>
    </w:p>
    <w:p>
      <w:r>
        <w:rPr>
          <w:b/>
        </w:rPr>
        <w:t>E. 7.3</w:t>
      </w:r>
    </w:p>
    <w:p>
      <w:r>
        <w:t>Anzumerken bleibt, dass die mit Zwischenverfügung vom 1. Februar 2022 bewilligte unentgeltliche Verbeiständung bei diesem Verfahrensaus- gang nicht zum Tragen kommt (BVGer act. 6). Das amtliche Honorar für die unentgeltliche Verbeiständung ist subsidiärer Natur und tritt hinter dem Anspruch auf die Parteientschädigung zurück.</w:t>
      </w:r>
    </w:p>
    <w:p>
      <w:r>
        <w:t>C-4207/2021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