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C-4207/2010 vom 1. Oktober 2012</w:t>
      </w:r>
    </w:p>
    <w:p>
      <w:r>
        <w:t>Bundesverwaltungsgericht, 2012-10-01, DE</w:t>
      </w:r>
    </w:p>
    <w:p>
      <w:r>
        <w:rPr>
          <w:b/>
        </w:rPr>
        <w:t xml:space="preserve">Quelle: </w:t>
      </w:r>
      <w:r>
        <w:t>https://mcp.opencaselaw.ch/entscheid/bvger_C-4207_2010</w:t>
      </w:r>
    </w:p>
    <w:p>
      <w:r>
        <w:t>FR: TAF C-4207/2010 du 1 octobre 2012</w:t>
      </w:r>
    </w:p>
    <w:p>
      <w:r>
        <w:t>IT: TAF C-4207/2010 del 1 ottobre 2012</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das Ausländergesetz vom 16. Dezember 2005 (AuG, SR 142.20) und seine Ausführungsverordnungen in Kraft, unter anderem die Verordnung vom 24. Oktober 2007 über Zulassung, Aufenthalt und Erwerbstätigkeit (VZAE, SR 142.201). Entsprechend der intertemporalen Ordnung in Art. 126 AuG ist das neue Verfahrensrecht auf alle Verfahren anwendbar (Abs. 2), das neue materielle Recht hingegen nur auf solche, die zum Zeitpunkt des Inkrafttretens nicht bereits rechtshängig waren (Abs. 1; vgl. dazu BVGE 2008/1 E. 2 mit Hinweisen).</w:t>
      </w:r>
    </w:p>
    <w:p>
      <w:r>
        <w:rPr>
          <w:b/>
        </w:rPr>
        <w:t>E. 3.2</w:t>
      </w:r>
    </w:p>
    <w:p>
      <w:r>
        <w:t>Dem vorliegenden Verfahren liegt die Eingabe des Beschwerdeführers vom 30. Dezember 2009 zu Grunde, mit der er um Verlängerung seiner kurz vor dem Ablauf stehenden Aufenthaltsbewilligung ersuchte. Die Streitsache untersteht deshalb auch materiellrechtlich dem neuen Recht.</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Ziffer 1.3.1.4 Bst. e der Weisungen des BFM im Ausländerbereich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C-195/2008 vom 25. Mai 2011 E. 4.1).</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Gemäss Art. 42 Abs. 1 AuG haben ausländische Ehegatten von Schwei­zer Bürgern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Fortbestand dieser Bewilligung hängt her­nach nicht mehr vom Zusammenleben der Eheleute ab (vgl. Art. 34 Abs. 1 AuG; Urteil des Bundesgerichts 2C_241/2009 vom 23. September 2009 E. 3). Das Erfordernis des Zusammenlebens nach Art. 42 Abs. 1 AuG be­steht nicht, wenn für getrennte Wohnorte wichtige Gründe geltend ge­macht werden und die familiäre Gemeinschaft weiter besteht (Art. 49 AuG). Der Anspruch aus Art. 42 Abs. 1 AuG erlischt, wenn er rechtsmiss­bräuchlich geltend gemacht wird, namentlich um Vorschriften dieses Geset­zes und seiner Ausführungsbestimmungen über die Zulassung und den Aufenthalt zu umgehen (Art. 51 Abs. 1 Bst. a AuG).</w:t>
      </w:r>
    </w:p>
    <w:p>
      <w:r>
        <w:rPr>
          <w:b/>
        </w:rPr>
        <w:t>E. 5.2</w:t>
      </w:r>
    </w:p>
    <w:p>
      <w:r>
        <w:t>Es ist soweit unbestritten, dass sich die Ehegatten im Juli 2007 trennten und für diesen Schritt keine wichtigen Gründe im Sinne von Art. 49 AuG vorlagen, die Trennung vielmehr definitiv war. Folglich bestand nach diesem Zeitpunkt kein Anspruch mehr auf Verlängerung der Aufenthaltsbewilligung gestützt auf Art. 42 Abs. 1 AuG. Fällt eine weitere Regelung des Aufenthaltes gestützt auf Art. 42 AuG wegen Aufgabe des Familienlebens dahin, so kann sich ein solcher Anspruch aus Art. 50 AuG ergeben.</w:t>
      </w:r>
    </w:p>
    <w:p>
      <w:r>
        <w:rPr>
          <w:b/>
        </w:rPr>
        <w:t>E. 6.1</w:t>
      </w:r>
    </w:p>
    <w:p>
      <w:r>
        <w:t>Nach Art. 50 Abs. 1 Bst. a AuG besteht ein Anspruch des Ehegatten auf Erteilung und Verlängerung der Aufenthaltsbewilligung gemäss Art. 42 AuG weiter, wenn die Ehegemeinschaft mindestens drei Jahre bestanden hat und eine erfolgreiche Integration vorliegt. Anrechenbar an die gesetzliche Mindestdauer der Ehegemeinschaft ist dabei grundsätzlich nur diejenige Zeit, die die Ehegatten in ehelicher Hausgemeinschaft in der Schweiz verbracht haben (vgl. BGE 136 II 113 E. 3.3 S. 117 f.).</w:t>
      </w:r>
    </w:p>
    <w:p>
      <w:r>
        <w:rPr>
          <w:b/>
        </w:rPr>
        <w:t>E. 6.2</w:t>
      </w:r>
    </w:p>
    <w:p>
      <w:r>
        <w:t>Die eheliche Gemeinschaft wurde im Falle des Beschwerdeführers nur ein Jahr und sieben Monate aufrechterhalten. Ein Anspruch auf Verlängerung der Aufenthaltsbewilligung gestützt auf Art. 50 Abs. 1 Bst. a AuG ist daher zu verneinen, ohne dass in diesem rechtlichen Zusammenhang zu prüfen wäre, ob das kumulative Erfordernis einer erfolgreichen Integration erfüllt war (vgl. dazu Urteil des Bundesgerichts 2C_195/2010 vom 23. Juni 2010 E. 5.2). Unerheblich ist in diesem Zusammenhang auch, dass die Ehe erst im Mai 2012 geschieden wurde, und das betreffende Urteil möglicherweise - so aus den Ausführungen des Beschwerdeführers in seiner Eingabe vom 29. Juni 2012 zu schliessen - noch nicht rechtskräftig ist. Entscheidend ist nicht die Ehe als solche, sondern der Zeitraum, in dem die eheliche Gemeinschaft tatsächlich gelebt wurde (BGE 137 II 345 E. 3.1.2).</w:t>
      </w:r>
    </w:p>
    <w:p>
      <w:r>
        <w:rPr>
          <w:b/>
        </w:rPr>
        <w:t>E. 7.1</w:t>
      </w:r>
    </w:p>
    <w:p>
      <w:r>
        <w:t>Ein Anspruch auf Erteilung und Verlängerung der Aufenthaltsbewilli­gung nach Art. 42 AuG besteht gemäss Art. 50 Abs. 1 Bst. b AuG sodann, wenn "wichtige persönliche Gründe" einen weiteren Aufenthalt in der Schweiz "erforderlich" machen. Solche Gründe können gemäss Art. 50 Abs. 2 AuG namentlich vorliegen, wenn der ausländische Ehegatte Opfer ehelicher Gewalt wurde und die soziale Wiedereingliederung im Herkunfts­land stark gefährdet erscheint (vgl. BGE 136 II 1 E. 5.3). Mit der offenen Umschreibung des Tatbestands durch die unbestimmten Rechtsbegriffe des "wichtigen persönlichen Grundes" und der "Erforderlichkeit" des weiteren Aufenthalts öffnete der Gesetzgeber den rechtsanwendenden Behörden Gestaltungsspielräume, die im Rahmen seiner Vorgaben zwecks Realisierung einer individualisierenden Fallgerechtigkeit zu konkretisieren sind (Martina Caroni, in: AuG-Handkommentar, Art. 50 N. 23 mit Hinweisen).</w:t>
      </w:r>
    </w:p>
    <w:p>
      <w:r>
        <w:rPr>
          <w:b/>
        </w:rPr>
        <w:t>E. 7.2</w:t>
      </w:r>
    </w:p>
    <w:p>
      <w:r>
        <w:t>Die Regelung in Art. 50 Abs. 1 Bst. b AuG bezweckt, schwerwiegende Härtefälle zu vermeiden, die sich aus dem Verlust eines Aufenthaltsrechts nach Auflösung der Ehegemeinschaft ergeben können (vgl. Botschaft zum Bundesgesetz über die Ausländerinnen und Ausländer vom 8. März 2002, BBl 2002 3753 Ziff. 1.3.7.5). Massgebend sind die konkreten Umstände des Einzelfalles. Entscheidend ist, ob diese Umstände eine Lebenslage konstituieren, die einen weiteren Aufenthalt in der Schweiz erforderlich macht. Davon kann nicht schon dann ausgegangen werden, wenn ein Leben in der Schweiz einfacher wäre und bevorzugt würde. Dem Betroffenen müssen vielmehr Konsequenzen von erheblicher Intensität drohen, wäre er gezwungen, den Aufenthalt in der Schweiz abzubrechen und in sein Herkunftsland zurückzukehren (Urteil des Bundesgerichts 2C_781/2010 vom 16. Februar 2011 E. 2.2). Die Rückkehr in das Herkunftsland ist daher zumutbar und ein wichtiger persönlicher Grund im Sinne des Gesetzes nicht gegeben, wenn der Aufenthalt in der Schweiz nur kürzere Zeit gedauert hat, keine engen Beziehungen zur Schweiz geknüpft wurden und die erneute Integration im Herkunftsland keine besonderen Probleme stellt (BBl 2002 3754 Ziff. 1.3.7.6).</w:t>
      </w:r>
    </w:p>
    <w:p>
      <w:r>
        <w:rPr>
          <w:b/>
        </w:rPr>
        <w:t>E. 7.3</w:t>
      </w:r>
    </w:p>
    <w:p>
      <w:r>
        <w:t>Nach dem Gesetz und der bundesgerichtlichen Rechtsprechung kann sich ein wichtiger persönlicher Grund namentlich bei ehelicher Gewalt­erfahrung und/oder stark gefährdeter Wiedereingliederung im Her­kunftsland ergeben (BGE 136 II 1 E. 5 S. 3 ff.). Als weitere mögliche Anwendungsfälle nennt die Botschaft beispielhaft den Tod des Ehepartners (vgl. hierzu grundlegend BGE 137 II 1 E. 3.1 mit Hinweisen), die Existenz gemeinsamer Kinder, zu denen eine enge Beziehung besteht und die in der Schweiz gut integriert sind, sowie die Umstände, die zur Auflösung der Ehe geführt haben (BBl 2002 3754 Ziff. 1.3.7.6). Die in Art. 31 Abs. 1 VZAE beispielhaft aufgeführten Gesichtspunkte, die der Rechtsprechung zum schwerwiegenden persönlichen Härtefall nach Art. 13 Bst. f der Verordnung vom 6. Oktober 1986 über die Begrenzung der Zahl der Ausländer (BVO, AS 1986 1791) entstammen (Urteil des Bundesgerichts 2C_216/2009 vom 20. August 2009 E. 2.2), können bei der Beurteilung ebenfalls eine wesentliche Rolle spielen. Es handelt sich hierbei um den Grad der Integration, die Respektierung der Rechtsordnung, die familiären und wirtschaftlichen Verhältnisse, die Dauer der Anwesenheit in der Schweiz und um den Gesundheitszustand (BGE 137 II 1 E. 4.1).</w:t>
      </w:r>
    </w:p>
    <w:p>
      <w:r>
        <w:rPr>
          <w:b/>
        </w:rPr>
        <w:t>E. 8.1</w:t>
      </w:r>
    </w:p>
    <w:p>
      <w:r>
        <w:t>Im Zusammenhang mit seiner Ehe beziehungsweise deren Auflösung sind beim Beschwerdeführer keine Besonderheiten zu erkennen, die es unter dem Begriff des wichtigen persönlichen Grundes speziell zu berücksichtigen gälte. Gewalt war offensichtlich nicht im Spiel, die Ehe blieb kinderlos und den Akten sind keine Anhaltspunkte dafür zu entnehmen, dass die soziale Reintegration des Beschwerdeführers in seiner Heimat stark gefährdet wäre (vgl. dazu auch nachfolgend Ziff. 8.6).</w:t>
      </w:r>
    </w:p>
    <w:p>
      <w:r>
        <w:rPr>
          <w:b/>
        </w:rPr>
        <w:t>E. 8.2</w:t>
      </w:r>
    </w:p>
    <w:p>
      <w:r>
        <w:t>In beruflicher Hinsicht kann nicht von einer erfolgreichen Integration des Beschwerdeführers in die hiesigen Verhältnisse ausgegangen werden. Seit seiner Einreise in die Schweiz beziehungsweise seiner Eheschliessung Ende 2005 arbeitete er nur sporadisch. Nach längerer Arbeitslosigkeit leistet er offenbar seit Mitte August 2011 wieder temporäre Einsätze als Hilfsarbeiter, die ihm von einer Firma für Personalvermittlung zugehalten werden. Die fehlende Konstanz insbesondere während der über vier Jahre, in denen er über eine Aufenthaltsbewilligung verfügte, kann entgegen der Behauptung des Beschwerdeführers nicht damit entschuldigt werden, dass der Arbeitsmarkt im Kanton Schaffhausen besonders klein und er selbst durch seinen Aufenthaltsstatus noch zusätzlich benachteiligt gewesen sei.</w:t>
      </w:r>
    </w:p>
    <w:p>
      <w:r>
        <w:rPr>
          <w:b/>
        </w:rPr>
        <w:t>E. 8.3</w:t>
      </w:r>
    </w:p>
    <w:p>
      <w:r>
        <w:t>Über die soziale Integration des Beschwerdeführers in der Schweiz ist nichts aktenkundig. Er beschränkte sich darauf, Kontakte zu einem in der Schweiz eingebürgerten Landsmann und zu einer im Kanton Aargau wohnhaften Schweizer Bürgerin anzugeben. Darüber hinaus ist nicht bekannt, in welchen Kreisen er verkehrt, ob er kulturellen oder sonstigen Vereinigungen angehört und welchen Freizeitbeschäftigungen er nachgeht. Trotz mittlerweile fast achtjährigem Aufenthalt verfügt der Beschwerdeführer offensichtlich auch nicht über adäquate sprachliche Kenntnisse. Aus den Akten zu schliessen hat er erst im Sommer 2009 einen deutschen Sprachtest (Stufe A1 der im gemeinsamen europäischen Referenzrahmen für Sprachen beschriebenen sechsstufigen Kompetenzskala) mit dem Prädikat "befriedigend" bestanden.</w:t>
      </w:r>
    </w:p>
    <w:p>
      <w:r>
        <w:rPr>
          <w:b/>
        </w:rPr>
        <w:t>E. 8.4</w:t>
      </w:r>
    </w:p>
    <w:p>
      <w:r>
        <w:t>Die schweizerische Rechtsordnung hat der Beschwerdeführer in der Vergangenheit nicht immer respektiert: Nebst zwei Verurteilungen wegen Zuwiderhandlungen gegen ausländerrechtliche Vorschriften (Strafbefehl der Staatsanwaltschaft Zürich-Sihl vom 6. November 2005 und Strafbefehl des Untersuchungsrichteramts des Kantons Schaffhausen vom 23. Juli 2007) sind eine Strafverfügung des Untersuchungsrichteramts des Kantons Schaffhausen vom 24. März 2010 und ein Strafbefehl der Staatsanwaltschaft des Kantons Schaffhausen vom 12. Dezember 2011 aktenkundig, beide im Zusammenhang mit Fahren in einem öffentlichen Verkehrsmittel ohne gültigen Fahrausweis. Aber auch seinen Zahlungsverpflichtungen kam der Beschwerdeführer in der Vergangenheit nur ungenügend nach. Aktenkundig sind zwei Auszüge aus dem Betreibungsregister, die belastende Einträge enthalten; einer vom 18. Januar 2010, der sechs Betreibungen im Gesamtbetrag vom Fr. 6'750.30 ausweist und einer vom 25. Juni 2012, der für die Zeit seit Januar 1990 acht offene Verlustscheine im Gesamtbetrag von Fr. 11'465.90 und für die Zeit ab Januar 2010 acht Betreibungen im Gesamtbetrag von Fr. 10'166.75 auflistet. Diese Vorgänge lassen ohne weiteres Schwierigkeiten des Beschwerdeführers erkennen, wenn es darum geht, die geltende Rechtsordnung konsequent zu respektieren und den finanziellen Verpflichtungen nachzukommen.</w:t>
      </w:r>
    </w:p>
    <w:p>
      <w:r>
        <w:rPr>
          <w:b/>
        </w:rPr>
        <w:t>E. 8.5</w:t>
      </w:r>
    </w:p>
    <w:p>
      <w:r>
        <w:t>Wenn der Beschwerdeführer in seiner Rechtsmitteleingabe auf pauschale Weise versucht, seine mangelhafte Integrationsleistung mit einer belasteten Ehesituation in Verbindung zu bringen, so kann das nicht überzeugen. Unlogisch ist auch seine Auffassung, wonach ihm zur Verhinderung einer Notlage die Chance gegeben werden soll, seine Defizite in der Integration nachträglich noch zu beseitigen.</w:t>
      </w:r>
    </w:p>
    <w:p>
      <w:r>
        <w:rPr>
          <w:b/>
        </w:rPr>
        <w:t>E. 8.6</w:t>
      </w:r>
    </w:p>
    <w:p>
      <w:r>
        <w:t>Der Beschwerdeführer ist mittlerweile 32 Jahre alt, gesund und familiär ungebunden. In seiner Heimat hat er nach wie vor nahe Angehörige: Gemäss seinen eigenen Ausführungen in einem am 29. Januar 2010 an die kantonale Migrationsbehörde gerichteten Schreiben leben in Nigeria seine Eltern, eine verheiratete Schwester und ein lediger Bruder. Er selbst will dort vor seiner Ausreise als Schreiner gearbeitet haben. Vor diesem Hintergrund und der Tatsache, dass er den weitaus grössten Teil seines bisherigen Lebens in Nigeria verbracht hat, sollte ihm eine Reintegration ohne weiteres möglich und somit auch zumutbar sein.</w:t>
      </w:r>
    </w:p>
    <w:p>
      <w:r>
        <w:rPr>
          <w:b/>
        </w:rPr>
        <w:t>E. 9</w:t>
      </w:r>
    </w:p>
    <w:p>
      <w:r>
        <w:t>Demnach ergibt sich, dass der Beschwerdeführer weder gestützt auf Art. 50 Abs. 1 Bst. a AuG noch gestützt auf Art. 50 Abs. 1 Bst. b AuG einen Anspruch auf Verlängerung der Aufenthaltsbewilli­gung geltend machen kann. Die Verweigerung der Zustimmung zur Verlänge­rung der Aufenthaltsbewilligung ist demnach nicht zu beanstanden.</w:t>
      </w:r>
    </w:p>
    <w:p>
      <w:r>
        <w:rPr>
          <w:b/>
        </w:rPr>
        <w:t>E. 10</w:t>
      </w:r>
    </w:p>
    <w:p>
      <w:r>
        <w:t>Aus der Rechtmässigkeit der Zustimmungsverweigerung folgt ohne Weite­res die Rechtmässigkeit der Wegweisung aus der Schweiz (vgl. Art. 64 Abs. 1 Bst. c AuG in der Fassung gemäss Art. 2 Ziff. 1 des Bundesbe­schlusses vom 18. Juni 2010 betreffend die Übernahme der EG-Rückfüh­rungsrichtlinie [Richtlinie 2008/115/EG], in Kraft seit 1. Januar 2011, der dem zeitgleich aufgehobenen Art. 66 Abs. 1 AuG in der Fassung vom 16. Dezember 2005 [AS 2007 5437] entspricht). Es bliebe zu prüfen, ob dem Wegweisungsvollzug Hindernisse im Sinne von Art. 83 AuG entgegenstehen. Da solche jedoch weder geltend gemacht werden noch sich aus den Akten ergeben, ist die angefochtene Verfügung auch unter diesem Gesichtspunkt zu Recht ergangen.</w:t>
      </w:r>
    </w:p>
    <w:p>
      <w:r>
        <w:rPr>
          <w:b/>
        </w:rPr>
        <w:t>E. 11</w:t>
      </w:r>
    </w:p>
    <w:p>
      <w:r>
        <w:t>Aus diesen Erwägungen ergibt sich, dass die angefochtene Verfügung im Ergebnis kein Bun­desrecht verletzt (Art. 49 VwVG). Die Be­schwerde ist daher abzuweisen.</w:t>
      </w:r>
    </w:p>
    <w:p>
      <w:r>
        <w:rPr>
          <w:b/>
        </w:rPr>
        <w:t>E. 12</w:t>
      </w:r>
    </w:p>
    <w:p>
      <w:r>
        <w:t>Mit dem Unterliegen in der Beschwerdesache wird der Beschwerdeführer grundsätzlich kostenpflichtig (Art. 63 Abs. 1 VwVG). Nun hat er nach Leistung des eingeforderten Kostenvorschusses mit seiner Eingabe vom 29. Juni 2012 nachträglich noch um Gewährung der unentgeltlichen Rechtspflege ersucht.</w:t>
      </w:r>
    </w:p>
    <w:p>
      <w:r>
        <w:rPr>
          <w:b/>
        </w:rPr>
        <w:t>E. 12.1</w:t>
      </w:r>
    </w:p>
    <w:p>
      <w:r>
        <w:t>Gemäss Artikel 65 Abs. 1 VwVG wird eine Partei, die nicht über die er­forderlichen Mittel verfügt, auf Antrag von der Pflicht zur Bezahlung der Verfahrenskosten befreit, wenn ihr Begehren im Zeitpunkt der Ge­suchseinreichung nicht aussichtslos erscheint. Sofern es zur Wahrung ihrer Rechte notwendig erscheint, hat die bedürftige Partei ausserdem Anspruch auf unentgeltlichen Rechtsbeistand (Art. 65 Abs. 2 VwVG). Als bedürftig im Sinne des Gesetzes gelten dabei Personen, die nicht in der Lage sind, für die Prozesskosten aufzukommen, ohne dass sie Mittel beanspruchen müssten, die zur Deckung des Grundbedarfs für sie und ihre Familie notwendig sind (BGE 128 I 225 E. 2.5.1 S. 232; 127 I 202 E. 3B S. 205). Die prozessuale Bedürftigkeit beurteilt sich nach der gesamten wirtschaftlichen Situation des Rechtssuchenden (BGE 124 I 1 E. 2A S. 2 f. Mit Hinweisen). Der Nachweis der Bedürftig­keit obliegt der Partei (Urteil des Bundesgerichts 2A.502/2006 vom 4. Januar 2007 E. 4.1).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(BGE 125 II 265 E. 4b S. 275; 124 I 304 E. 2c S. 306).</w:t>
      </w:r>
    </w:p>
    <w:p>
      <w:r>
        <w:rPr>
          <w:b/>
        </w:rPr>
        <w:t>E. 12.2</w:t>
      </w:r>
    </w:p>
    <w:p>
      <w:r>
        <w:t>Aufgrund der Erwägungen ergibt sich ohne Weiteres, dass der Beschwerde keine Erfolgsaussichten eingeräumt werden konnten. Tritt hinzu, dass die behauptete Bedürftigkeit vom Beschwerdeführer nicht ausgewiesen wurde. Das Gesuch um Gewährung der unentgeltlichen Rechtspflege ist daher abzuweisen.</w:t>
      </w:r>
    </w:p>
    <w:p>
      <w:r>
        <w:rPr>
          <w:b/>
        </w:rPr>
        <w:t>E. 12.3</w:t>
      </w:r>
    </w:p>
    <w:p>
      <w:r>
        <w:t>Die Verfahrenskosten sind deshalb in Anwendung von Art. 1, 2 und 3 Bst. b des Reglements vom 21. Februar 2008 über die Kosten und Entschädigungen vor dem Bundesverwaltungsgericht (SR 173.320.2) zu berechnen und dem Beschwerdeführer aufzuerlegen.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