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C-419/2017 vom 15. November 2018</w:t>
      </w:r>
    </w:p>
    <w:p>
      <w:r>
        <w:t>Bundesverwaltungsgericht, 2018-11-15, DE</w:t>
      </w:r>
    </w:p>
    <w:p>
      <w:r>
        <w:rPr>
          <w:b/>
        </w:rPr>
        <w:t xml:space="preserve">Quelle: </w:t>
      </w:r>
      <w:r>
        <w:t>https://mcp.opencaselaw.ch/entscheid/bvger_C-419_2017</w:t>
      </w:r>
    </w:p>
    <w:p>
      <w:r>
        <w:t>FR: TAF C-419/2017 du 15 novembre 2018</w:t>
      </w:r>
    </w:p>
    <w:p>
      <w:r>
        <w:t>IT: TAF C-419/2017 del 15 novembre 2018</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Art. 31, 32 und 33 Bst. d VGG [SR 173.32]). Die Beschwerdeführerin ist durch die angefochtene Verfügung besonders berührt und hat an deren Aufhebung oder Abänderung ein schutzwürdiges Interesse, weshalb sie beschwerdelegitimiert ist (Art. 48 Abs. 1 VwVG [SR 172.021], Art. 59 ATSG [SR 830.1]). Auf die frist- und formgerecht eingereichte Beschwerde vom 5. Januar 2017 ist daher einzutreten (Art. 50 Abs. 1 und Art. 52 Abs. 1 VwVG, Art. 60 ATSG).</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Die Beschwerdeführerin ist Staatsangehörige von Bosnien-Herzegowina und hat dort ihren Wohnsitz, weshalb das im Verhältnis zu Bosnien und Herzegowina bis heute gültige Abkommen vom 8. Juni 1962 zwischen der Schweizerischen Eidgenossenschaft und der Föderativen Volksrepublik Jugoslawien über Sozialversicherung (SR 0.831.109.818.1; nachfolgend: Sozialversicherungsabkommen) zur Anwendung kommt (vgl. Urteil des BGer 9C_385/2011 vom 8. August 2011 E. 2). Nach Art. 2 des Sozialversicherungsabkommens stehen die Staatsangehörigen der Vertragsstaaten in ihren Rechten und Pflichten aus den in Art. 1 genannten Rechtsbereichen, zu welchen auch die schweizerische Bundesgesetzgebung über die Alters- und Hinterlassenenversicherung gehört, einander gleich, wenn nichts anderes bestimmt ist. Soweit - wie vorliegend - weder das Sozialversicherungsabkommen noch allgemeine Rechtsgrundsätze dagegen sprechen, richtet sich die Ausgestaltung des Verfahrens und die Prüfung des Anspruchs auf eine Witwenrente alleine nach der schweizerischen Rechtsordnung (vgl. BGE 130 V 253 E. 2.4). Die Beurteilung der Frage, ob die Beschwerdeführerin Anspruch auf eine Hinterlassenenrente hat, bestimmt sich demnach allein nach den schweizerischen Rechtsvorschriften, namentlich nach dem AHVG und der Verordnung über die Alters- und Hinterlassenenversicherung (AHVV, SR 831.101).</w:t>
      </w:r>
    </w:p>
    <w:p>
      <w:r>
        <w:rPr>
          <w:b/>
        </w:rPr>
        <w:t>E. 2.2</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grundsätzlich diejenigen materiellen Rechtssätze massgebend, die bei der Erfüllung des zu Rechtsfolgen führenden Tatbestandes Geltung hatten (BGE 130 V 445 E. 1.2.1; 127 V 466 E. 1; 126 V 134 E. 4b).</w:t>
      </w:r>
    </w:p>
    <w:p>
      <w:r>
        <w:rPr>
          <w:b/>
        </w:rPr>
        <w:t>E. 3</w:t>
      </w:r>
    </w:p>
    <w:p>
      <w:r>
        <w:t>Streitig und zu prüfen ist, ob die Beschwerdeführerin Anspruch auf eine Witwenrente hat.</w:t>
      </w:r>
    </w:p>
    <w:p>
      <w:r>
        <w:rPr>
          <w:b/>
        </w:rPr>
        <w:t>E. 3.1</w:t>
      </w:r>
    </w:p>
    <w:p>
      <w:r>
        <w:t>Anspruch auf eine Witwen- oder Witwerrente haben Witwen oder Witwer, sofern sie im Zeitpunkt der Verwitwung Kinder haben (Art. 23 Abs. 1 AHVG). Witwen haben überdies Anspruch auf eine Witwenrente, wenn sie im Zeitpunkt der Verwitwung keine Kinder oder Pflegekinder im Sinne von Artikel 23, jedoch das 45. Altersjahr vollendet haben und mindestens fünf Jahre verheiratet gewesen sind. War die Witwe mehrmals verheiratet, so wird auf die Gesamtdauer der Ehen abgestellt (Art. 24 Abs. 1 AHVG).</w:t>
      </w:r>
    </w:p>
    <w:p>
      <w:r>
        <w:rPr>
          <w:b/>
        </w:rPr>
        <w:t>E. 3.2</w:t>
      </w:r>
    </w:p>
    <w:p>
      <w:r>
        <w:t>Unstreitig ist vorliegend, dass die Beschwerdeführerin mit dem Versicherten nicht verheiratet war und somit die Voraussetzungen für eine Witwenrente gemäss Art. 24 Abs. 1 AHVG nicht erfüllt. Die Beschwerdeführerin macht jedoch geltend, aufgrund des - seitens der Vorinstanz sachverhaltlich nicht in Frage gestellten - Konkubinats, welches länger als 13 Jahren gedauert habe, sei ihr eine Witwenrente auszurichten.</w:t>
      </w:r>
    </w:p>
    <w:p>
      <w:r>
        <w:rPr>
          <w:b/>
        </w:rPr>
        <w:t>E. 3.2.1</w:t>
      </w:r>
    </w:p>
    <w:p>
      <w:r>
        <w:t>Die Beschwerdeführerin bringt beschwerde- und replikweise vor, sie habe gemäss dem Urteilsspruch des Amtsgerichts in (...) vom 18. Mai 2016 (vgl. SAK-act. 2, S. 6 - 8) mit C._______ mehr als 13 Jahre in einer nichtehelichen Lebensgemeinschaft gelebt; er sei für den Lebensunterhalt aufgekommen und sie habe ihn nach seinem Tod begraben. Sie sei im Moment seines Todes 62 Jahre alt gewesen, weshalb sie einen Anspruch auf eine Witwenrente habe. Im Weiteren wurde gerügt, dass die angefochtene Verfügung gegen das Diskriminierungsverbot des Art. 14 EMRK verstosse und eine Ungleichbehandlung sowie eine Diskriminierung aufgrund des Geschlechts vorliege, da Partner des gleichen Geschlechts "dieses Recht" hätten. Andere Personen in gleichartigen Situationen wie beispielsweise Konkubinatspartner müssten gleich behandelt werden wie gleichgeschlechtliche Paare.</w:t>
      </w:r>
    </w:p>
    <w:p>
      <w:r>
        <w:rPr>
          <w:b/>
        </w:rPr>
        <w:t>E. 3.2.2</w:t>
      </w:r>
    </w:p>
    <w:p>
      <w:r>
        <w:t>Die Vorinstanz hält diesen Argumenten mit Verweis auf die schweizerische Gesetzgebung und Rechtsprechung entgegen, die Beschwerdeführerin habe weder belegt noch behauptet, mit C._______ verheiratet gewesen zu sein. Die gesetzlichen Bestimmungen beinhalteten keine Bestimmung, welche es erlaube, eine eheähnliche Lebensgemeinschaft mit einer Ehe gleichzusetzen; einzig die eingetragene Partnerschaft sei im Sozialversicherungsrecht einer Ehe gleichgestellt. Das Partnerschaftsgesetz betreffe aber nur gleichgeschlechtliche Paare. In der bundesgerichtlichen Rechtsprechung sei ebenfalls stets festgehalten worden, dass die Gleichstellung der überlebenden Konkubinatspartnerin mit einer Witwe nicht vorgesehen sei und sich deshalb eine Anrechnung des Konkubinats an die Ehedauer verbiete.</w:t>
      </w:r>
    </w:p>
    <w:p>
      <w:r>
        <w:rPr>
          <w:b/>
        </w:rPr>
        <w:t>E. 3.3</w:t>
      </w:r>
    </w:p>
    <w:p>
      <w:r>
        <w:t>Zu den seitens der Beschwerdeführerin angerufenen, einander nahestehenden und teilweise ineinander übergehenden, Grundrechten ist allgemein Folgendes festzuhalten:</w:t>
      </w:r>
    </w:p>
    <w:p>
      <w:r>
        <w:rPr>
          <w:b/>
        </w:rPr>
        <w:t>E. 3.3.1</w:t>
      </w:r>
    </w:p>
    <w:p>
      <w:r>
        <w:t>Der Anspruch auf Rechtsgleichheit (Art. 8 Abs. 1 BV) gebietet, dass Gleiches nach Massgabe der Gleichheit gleich und Ungleiches nach Massgabe der Ungleichheit ungleich zu behandeln. Das Rechtsgleichheitsgebot wird insbesondere verletzt, wenn gleiche Sachverhalte ohne sachliche Gründe ungleich behandelt werden; wenn Unterscheidungen getroffen werden, für die kein vernünftiger Grund in den zu regelnden Verhältnissen ersichtlich ist oder Unterscheidungen unterbleiben, die sich aufgrund der Verhältnisse aufdrängen (statt Vieler: BGE 131 I 91 E. 3.4; 136 V 231 E. 6.1, 140 I 201 E. 6.5.1).</w:t>
      </w:r>
    </w:p>
    <w:p>
      <w:r>
        <w:rPr>
          <w:b/>
        </w:rPr>
        <w:t>E. 3.3.2</w:t>
      </w:r>
    </w:p>
    <w:p>
      <w:r>
        <w:t>Niemand darf diskriminiert werden, u.a. nicht wegen der Herkunft, der Rasse, des Geschlechts oder der Lebensform (Art. 8 Abs. 2 BV).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Die Verfassungsbestimmung fällt allgemein in Betracht, wenn eine mehr oder weniger bestimmbare Gruppe von gesellschaftlicher Herabwürdigung und Abwertung oder Ausgrenzung nach stereotypen Vorurteilen bedroht ist. Das Diskriminierungsverbot gemäss Art. 8 Abs. 2 BV schliesst indes die Anknüpfung an ein verpöntes Merkmal nicht absolut aus. Eine solche Anknüpfung begründet zunächst lediglich den blossen Verdacht einer unzulässigen Differenzierung; sich daraus ergebende Ungleichbehandlungen sind qualifiziert zu rechtfertigen.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(BGE 141 I 241 E. 4.3.2, 126 II 377 E. 6, je m.w.H.).</w:t>
      </w:r>
    </w:p>
    <w:p>
      <w:r>
        <w:rPr>
          <w:b/>
        </w:rPr>
        <w:t>E. 3.3.3</w:t>
      </w:r>
    </w:p>
    <w:p>
      <w:r>
        <w:t>Art. 14 EMRK enthält weder ein allgemeines Rechtsgleichheitsgebot noch ein selbständiges Diskriminierungsverbot, sondern vorab die Verpflichtung der Konventionsstaaten, die in der EMRK gewährten Rechte diskriminierungsfrei, d.h. nicht in Ungleichbehandlung aufgrund eines verpönten Merkmals zu gewähren (BGE 143 I 50 E. 3.1; 143 V 114 E. 5.3.2.2).</w:t>
      </w:r>
    </w:p>
    <w:p>
      <w:r>
        <w:rPr>
          <w:b/>
        </w:rPr>
        <w:t>E. 3.4</w:t>
      </w:r>
    </w:p>
    <w:p>
      <w:r>
        <w:t>Die Beschwerdeführerin macht sinngemäss geltend (vgl. E. 3.2.1), der angefochtene Entscheid verletze das Gebot der Rechtsgleichheit, das Diskriminierungs- und das Willkürverbot, indem er für den Anspruch auf eine Witwenrente eine fünfjährige Ehedauer im zivilrechtlichen Sinn der Ehe verlange. Sie müsse, da sie mehr als 13 Jahre in einer eheähnlichen Gemeinschaft gelebt habe, gleich behandelt werden wie gleichgeschlechtliche Paare. Damit stellt sie sich indes gegen die höchstrichterliche Praxis des Bundesgerichts. Gemäss der Rechtsprechung des Bundesgerichts (resp. des früheren Eidgenössischen Versicherungsgerichts) ist die fünfjährige Ehedauer eine vom Gesetzgeber gewollte Voraussetzung, deren vollständige Erfüllung Anspruchsvoraussetzung für die Entstehung der Witwenrente gestützt auf Art. 24 Abs. 1 AHVG ist (Urteil des BGer 9C_293/2012 vom 22. August 2012 E. 4; nicht publiziertes Urteil des EVG vom 1. März 1978, zit. in BGE 115 V 77 E. 4c). Im Urteil des BGer 9C_413/2015 vom 2. Mai 2016 (insb. E. 4.2) hält das Bundesgericht ausdrücklich daran fest, dass die Voraussetzungen des Art. 24 Abs. 1 AHVG dem Wortlaut entsprechend am zivilrechtlichen Begriff der Ehe und der eingetragenen Partnerschaft (Art. 13a Abs. 1 ATSG) anknüpfe. Dies sei im Rahmen einer durch den Gesetzgeber konsequent verwirklichten Bevorzugung dieser Institute gegenüber dem Konkubinat zu sehen. Dabei stützt sich das Bundesgericht auf ein im Jahr 2013 ergangenes Leiturteil, in welchem das Bundesgericht eine Gesamtbetrachtung des Sozialversicherungssystems vornahm und die im Gesamtsystem vorgesehenen Bevorzugungen von Ehepaaren - denen auch Benachteiligungen, wie etwa die im konkreten Fall geprüfte Rentenplafonierung der Ehegatten, gegenüberstehen - als mit der Bundesverfassung (Art. 8 Abs. 1 und 2, Art. 9 BV) wie auch der EMRK (Art. 14 EMRK) vereinbar erklärte (BGE 140 I 77 insb. E. 6.2 ff.). Es ist damit mit Blick auf das gesamte Sozialversicherungssystem hinzunehmen, dass die konsequente Anknüpfung am zivilrechtlichen Ehebegriff zu einer Ungleichbehandlung der Lebensformen der Ehe einerseits, des Konkubinats anderseits führt (BGE 140 I 77 E. 9, vgl. auch E. 6.3).</w:t>
      </w:r>
    </w:p>
    <w:p>
      <w:r>
        <w:rPr>
          <w:b/>
        </w:rPr>
        <w:t>E. 3.5</w:t>
      </w:r>
    </w:p>
    <w:p>
      <w:r>
        <w:t>Zusammenfassend ergibt sich, dass die abweichende Behandlung einer im Konkubinat lebenden Person weder eine rechtsungleiche Behandlung des Konkubinats gegenüber der Ehe oder der eingetragenen Partnerschaft, noch eine Diskriminierung dieser Lebensform darstellt. Die Beschwerdeführerin erfüllt die Voraussetzungen für den Anspruch auf eine Witwenrente gemäss Art. 24 Abs. 1 AHVG nicht. Die Beschwerde vom 12. Oktober 2016 ist daher offensichtlich unbegründet und im einzelrichterlichen Verfahren gemäss Art. 23 Abs. 2 VGG in Verbindung mit Art. 85bis Abs. 3 AHVG vollumfänglich abzuweisen.</w:t>
      </w:r>
    </w:p>
    <w:p>
      <w:r>
        <w:rPr>
          <w:b/>
        </w:rPr>
        <w:t>E. 4</w:t>
      </w:r>
    </w:p>
    <w:p>
      <w:r>
        <w:t>Zu befinden bleibt über die Verfahrenskosten und eine allfällige Parteientschädigung.</w:t>
      </w:r>
    </w:p>
    <w:p>
      <w:r>
        <w:rPr>
          <w:b/>
        </w:rPr>
        <w:t>E. 4.1</w:t>
      </w:r>
    </w:p>
    <w:p>
      <w:r>
        <w:t>Das Verfahren ist für die Parteien kostenlos (Art. 85bis Abs. 2 AHVG), sodass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