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C-419/2014 vom 14. September 2016</w:t>
      </w:r>
    </w:p>
    <w:p>
      <w:r>
        <w:t>Bundesverwaltungsgericht, 2016-09-14, DE</w:t>
      </w:r>
    </w:p>
    <w:p>
      <w:r>
        <w:rPr>
          <w:b/>
        </w:rPr>
        <w:t xml:space="preserve">Quelle: </w:t>
      </w:r>
      <w:r>
        <w:t>https://mcp.opencaselaw.ch/entscheid/bvger_C-419_2014</w:t>
      </w:r>
    </w:p>
    <w:p>
      <w:r>
        <w:t>FR: TAF C-419/2014 du 14 septembre 2016</w:t>
      </w:r>
    </w:p>
    <w:p>
      <w:r>
        <w:t>IT: TAF C-419/2014 del 14 settembre 2016</w:t>
      </w:r>
    </w:p>
    <w:p>
      <w:pPr>
        <w:pStyle w:val="Heading2"/>
      </w:pPr>
      <w:r>
        <w:t>Regeste</w:t>
      </w:r>
    </w:p>
    <w:p>
      <w:r>
        <w:t>Rentenanspruch</w:t>
      </w:r>
    </w:p>
    <w:p>
      <w:pPr>
        <w:pStyle w:val="Heading2"/>
      </w:pPr>
      <w:r>
        <w:t>Erwägungen</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und ein schutzwürdiges Interesse an deren Aufhebung oder Änderung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nachfolgend Vorinstanz) für die Verfügung von Leistungen der Invalidenversicherung (IV) zuständig (Art. 40 Abs. 1 lit. b der Verordnung über die Invalidenversicherung vom 17. Januar 1961 [IVV, SR 831.201]). Die Be­schwer­de­füh­re­rin ist in Österreich domiziliert. Die an­ge­foch­te­ne Ver­fü­gung vom 27. Dezember 2013 wurde deshalb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aus der gerichtlichen Zuständigkeit ausgenommener Sachverhalt vor. Das Bundesverwaltungsgericht ist demzufolge zur Beurteilung der Beschwerde zuständig.</w:t>
      </w:r>
    </w:p>
    <w:p>
      <w:r>
        <w:rPr>
          <w:b/>
        </w:rPr>
        <w:t>E. 2.3</w:t>
      </w:r>
    </w:p>
    <w:p>
      <w:r>
        <w:t>Als Adressatin ist die Be­schwer­de­füh­re­rin durch die angefochtene Ver­fügung besonders berührt und hat an deren Aufhebung bzw. Änderung ein schutzwürdiges Interesse; sie hat am vorinstanzlichen Verfahren als Partei teilgenommen. Die Beschwerde wurde zudem form- und fristgerecht eingereicht und der Kostenvorschuss geleistet, weshalb auf sie eingetreten werden kann.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01.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diese Verordnung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Die Verordnung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3.6.1</w:t>
      </w:r>
    </w:p>
    <w:p>
      <w:r>
        <w:t>Die Be­schwer­de­füh­re­rin besitzt die Staatsangehörigkeit Österreichs, eines Mitgliedsstaats gemäss FZA (Präambel FZA; Art. 2 Verordnung 883/2004). Der persönliche Geltungsbereich der Verordnung 883/2004 ist damit erstellt.</w:t>
      </w:r>
    </w:p>
    <w:p>
      <w:r>
        <w:rPr>
          <w:b/>
        </w:rPr>
        <w:t>E. 3.6.2</w:t>
      </w:r>
    </w:p>
    <w:p>
      <w:r>
        <w:t>Sie begehrt Leistungen aus der Invalidenversicherung, welche unter den europarechtlichen Begriffen Leistungen bei Invalidität oder allenfalls Leistungen bei Krankheit in den sachlichen Geltungsbereich der Verordnung 883/2004fallen (Art. 3 Abs. 1 lit. a und c Verordnung 883/2004).</w:t>
      </w:r>
    </w:p>
    <w:p>
      <w:r>
        <w:rPr>
          <w:b/>
        </w:rPr>
        <w:t>E. 3.6.3</w:t>
      </w:r>
    </w:p>
    <w:p>
      <w:r>
        <w:t>Die an­ge­foch­te­ne Ver­fü­gung vom 27. Dezember 2013 wurde nach Inkrafttreten der Verordnung 883/2004für die Schweiz am 01. April 2012 erlassen und bezieht sich auf Sachverhalte ab ca. Oktober 2012. Der zeitliche Geltungsbereich ist damit zweifelsohne erstellt.</w:t>
      </w:r>
    </w:p>
    <w:p>
      <w:r>
        <w:rPr>
          <w:b/>
        </w:rPr>
        <w:t>E. 3.6.4</w:t>
      </w:r>
    </w:p>
    <w:p>
      <w:r>
        <w:t>Ihre Ansprüche gegenüber der Schweizer Invalidenversicherung hat die Beschwerdeführerin durch ihre Erwerbstätigkeit in der Schweiz erworben, weshalb koordinationsrechtlich Schweizer Recht anwendbar ist. Das Konventionsrecht enthält keine materiellen Bestimmungen dazu, ob und gegebenenfalls ab wann Anspruch auf eine Rente der Invalidenversicherung besteht. Der Anspruch beurteilt sich deshalb,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ein Sachverhalt ab Oktober 2012 strittig, weshalb insbesondere das IVG in der Fassung vom 18. März 2011 (6. IV-Revision, erstes Massnahmenpaket; AS 2011 5659) und die IVV in der entsprechenden Fassung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 21, m.w.H.).</w:t>
      </w:r>
    </w:p>
    <w:p>
      <w:r>
        <w:rPr>
          <w:b/>
        </w:rPr>
        <w:t>E. 4.3</w:t>
      </w:r>
    </w:p>
    <w:p>
      <w:r>
        <w:t>Nicht zwingend erforderlich ist, dass die versicherte Person vom regionalen ärztlichen Dienst der IV (RAD) selbst untersucht wird; er führt eigene ärztliche Untersuchungen für die Beurteilung der medizinischen Voraussetzungen des Leistungsanspruchs nur "bei Bedarf" durch. In den übrigen Fällen stützt er seine Beurteilung auf die vorhandenen ärztlichen Unterlagen.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(Urteile BGer 9C_323/2009 vom 14. Juli 2009 E. 4.3.1 und I 1094/06 vom 14. November 2007 E. 3.1.1, je m.w.H.).</w:t>
      </w:r>
    </w:p>
    <w:p>
      <w:r>
        <w:rPr>
          <w:b/>
        </w:rPr>
        <w:t>E. 4.4</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4.5</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Rz. 12 zu Art. 12).</w:t>
      </w:r>
    </w:p>
    <w:p>
      <w:r>
        <w:rPr>
          <w:b/>
        </w:rPr>
        <w:t>E. 5.3</w:t>
      </w:r>
    </w:p>
    <w:p>
      <w:r>
        <w:t>Nach bundesgerichtlicher Rechtsprechung stellt das Sozialversicherungsgericht bei der Beurteilung einer Streitsache in der Regel auf den bis zum Zeitpunkt des Erlasses der streitigen Verwaltungsverfügung einge­tretenen Sachverhalt ab. Nachfolgende Änderungen sind in einem neu­en Verwaltungsverfahren zu beurteilen (BGE 121 V 362 E. 1.b m.w.H.).</w:t>
      </w:r>
    </w:p>
    <w:p>
      <w:r>
        <w:rPr>
          <w:b/>
        </w:rPr>
        <w:t>E. 5.4</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5.5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5.6</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5.6.1</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2008 E. 3.3.1 in fine, I 142/07 vom 20. November 2007 E. 3.2.3 und EVG I 362/06 vom 10. April 2007 E. 3.2.1; vgl. auch SVR 2009 IV Nr. 53 S. 165 E. 3.3.2 [nicht publizierte Textpassage der E. 3.3.2 des Entscheides BGE 135 V 254]).</w:t>
      </w:r>
    </w:p>
    <w:p>
      <w:r>
        <w:rPr>
          <w:b/>
        </w:rPr>
        <w:t>E. 5.6.2</w:t>
      </w:r>
    </w:p>
    <w:p>
      <w:r>
        <w:t>Das Bundesgericht hat zudem Richtlinien zur Würdigung bestimm­ter Formen medizinischer Berichte und Gutachten aufgestellt (vgl. BGE 125 V 351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351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w:t>
      </w:r>
    </w:p>
    <w:p>
      <w:r>
        <w:rPr>
          <w:b/>
        </w:rPr>
        <w:t>E. 5.6.3</w:t>
      </w:r>
    </w:p>
    <w:p>
      <w:r>
        <w:t>Die beweisrechtliche Würdigung bei pathogenetisch-ätiologisch unklaren syndromalen Beschwerdebildern ohne nachweisbare organische Grund­­lage soll in zwei Stufen erfolgen (Urteil BGer 9C_492/2014 vom 03. Juni 2015 E. 4.1.3). Ein einer ersten Stufe soll der funktionelle Schweregrad der Beschwerden bestimmt werden; dazu sind insbesondere die Ausprägung der diagnoserelevanten Befunde, der Behandlungs- und Eingliederungserfolg (oder aber -resistenz) und Komorbiditäten zu bestimmen. Im Gegensatz zur früheren Praxis des Bundesgerichts werden hier aber auch mobilisierbare Ressourcen zur Beschwerdekompensation, in Form der Persönlichkeitsstruktur und des sozialen Kontexts, berücksichtigt (9C_492/2014 E. 4.3.2, 4.3.3). In einem zweiten Schritt ist dann eine Konsistenzprüfung zu bestehen. Wesentlich ist dabei zu berücksichtigen, ob die geltend gemachte Einschränkung gleichmässig in allen vergleichbaren Lebensbereichen auftritt und in welchem Ausmass Behandlungsoptionen wahrgenommen bzw. vernachlässigt werden, ob also ein entsprechender Leidensdruck manifestiert wird (9C_492/2014 E. 4.4.1, 4.4.2).</w:t>
      </w:r>
    </w:p>
    <w:p>
      <w:r>
        <w:rPr>
          <w:b/>
        </w:rPr>
        <w:t>E. 6.1</w:t>
      </w:r>
    </w:p>
    <w:p>
      <w:r>
        <w:t>Zur Beurteilung des Gesundheitszustands der Beschwerdeführerin ste­hen in den Akten primär zwei Berichte der behandelnden Psychiaterin Dr. C._______ (Sachv. B.b), das amtliche Gutachten der Pensionsversicherungsanstalt, Landesstelle E._______, vom 18. Juli 2013 (inkl. psychiatrisches Teilgutachten vom 27. Ju­ni 2013; Sachv. B.c) und das österreichische Gerichtsgutachten vom 14. Ok­tober 2013 (Sachv. D.a) zur Verfügung. Die von der Be­schwer­deführerin beigebrachten Arztberichte betreffend eine Zeitperiode nach Verfügungserlass (Sachv. D.h und D.i) bleiben in diesem Verfahren unbeacht­lich (E. 5.3). Die eingereichte Spitalrechnung (Sachv. D.d), die eine blosse Auflistung von Diagnosen enthält, wiederum scheint grund­sätzlich ungeeignet, den Gesundheitszustand der Beschwer­de­führerin akkurat darzustellen.</w:t>
      </w:r>
    </w:p>
    <w:p>
      <w:r>
        <w:rPr>
          <w:b/>
        </w:rPr>
        <w:t>E. 6.2</w:t>
      </w:r>
    </w:p>
    <w:p>
      <w:r>
        <w:t>Unbestritten bleibt, dass die Beschwerdeführerin unter verschiedenen soma­tischen Beschwerden, insbesondere Migräne, Tinnitus, Hyp­aku­sis ein­seitig und Dysphagie (Sachv. B.d) leidet. Diese werden vom RAD durchgehend als ohne oder mit mindestens untergeordnetem Einfluss auf die Arbeitsfähigkeit taxiert (IV-act. 19 p. 3, 23 p. 3 &amp; 9, 25 p. 1), was die Beschwerdeführerin auch nicht explizit bestreitet.</w:t>
      </w:r>
    </w:p>
    <w:p>
      <w:r>
        <w:rPr>
          <w:b/>
        </w:rPr>
        <w:t>E. 6.3</w:t>
      </w:r>
    </w:p>
    <w:p>
      <w:r>
        <w:t>Zu den rezidivierenden Migräneattacken ist darauf hinzuweisen, dass diese gemäss den Akten bereits seit 2008 vorbestehend waren, die Beschwerdeführerin ungeachtet dessen bis Oktober 2012 ohne Einschränkungen gearbeitet hat (IV-act. 10 p. 10) und nie eine gezielte hausärztliche Migränebehandlung erfolgte, weshalb dieses Leiden in Übereinstimmung mit der Beurteilung des RAD als nicht die Arbeitsfähigkeit einschränkend zu beurteilen ist. Bezüglich Tinnitus links in Verbindung mit einer Hypakusis (Hörminderung) ist festzuhalten, dass diese Diagnose bereits seit 1998 besteht (IV-act. 20 S. 2) und ebenfalls nicht der Ausübung der letzten Tätigkeit als Raumpflegerin entgegen stand. Dr. F._______ hielt schliesslich Gleichgewichtsstörungen in Verbindung mit einem Tinnitus rechts fest (IV act. 20), die insbesondere in stressbelastenden Situationen auftreten würden. Hierzu ist festzuhalten, dass die Ärzte, die die Beschwerdeführerin zu späteren Zeitpunkten untersucht haben, die Gleichgewichtsstörungen nicht als eigenständige Diagnose aufführen. Dem Gutachten von Dr. L._______ vom 3. Oktober 2014 (IV-act. 26 S. 1 ff.) ist zudem zu entnehmen, dass die Beschwerdeführerin wieder gelegentlich Fahrrad fahre (IV-act. 26 S. 2 f.), Schwindelgefühle werden in seiner Anamneseerhebung nicht mehr genannt. Im Arztbericht vom 4. September 2014 machte die Beschwerdeführerin in der Anamnese "Verhaltensanalyse" zwar wiederum Gleichgewichtsprobleme geltend, führte aber gegenüber Dipl. Psych. K._______ im selben Bericht aus, der Kraftsport sei ihr geblieben, "da sie hierüber ihr Gleichgewicht stabiler halten könne" (B-act. 24.1 S. 1/2). Bei dieser Sachlage können die geltend gemachten Migräneattacken, Tinnitus links in Verbindung mit Hypakusis und Gleichgewichtsstörungen nicht als die Arbeitsfähigkeit einschränkend bezeichnet werden.</w:t>
      </w:r>
    </w:p>
    <w:p>
      <w:r>
        <w:rPr>
          <w:b/>
        </w:rPr>
        <w:t>E. 6.4</w:t>
      </w:r>
    </w:p>
    <w:p>
      <w:r>
        <w:t>Strittig und nach Aktenlage widersprüchlich bleibt die Beurteilung der psychischen Leistungsfähigkeit.</w:t>
      </w:r>
    </w:p>
    <w:p>
      <w:r>
        <w:rPr>
          <w:b/>
        </w:rPr>
        <w:t>E. 6.4.1</w:t>
      </w:r>
    </w:p>
    <w:p>
      <w:r>
        <w:t>Das amtliche Gutachten von Dr. D._______ der österreichischen Pensionsversicherungsanstalt vom 18. Juli 2013 umfasst 12 Seiten und enthält eine Anamnese sowie eine Liste der berücksichtigten Vorakten. Es diskutiert die von der Beschwer­deführerin angegebenen Beschwerden und schliesst - unter Berücksichtigung des psychiatrischen Fachgutachtens von Dr. F._______ vom 27. Juni 2013 - auf die nachvollziehbaren, wenn auch nicht spezifisch hergeleiteten Diagnosen einer Anpassungsstörung mit depressiver Reaktion, Angststörung mit Agoraphobie und Verdacht auf eine posttraumatische Persönlichkeitsänderung (Sachv. B.c). Ständig / vollschichtig leichte und überwiegend mittelschwere Tätigkeiten werden von den Gutachtern als zumutbar erachtet.</w:t>
      </w:r>
    </w:p>
    <w:p>
      <w:r>
        <w:rPr>
          <w:b/>
        </w:rPr>
        <w:t>E. 6.4.2</w:t>
      </w:r>
    </w:p>
    <w:p>
      <w:r>
        <w:t>Das Gerichtsgutachten von Dr. I._______ vom 14. Oktober 2013 umfasst 10 Seiten und enthält ebenfalls eine Anamnese inkl. angegebene Beschwerden sowie eine Zusammenfassung der berücksichtigten Vor­akten. Es diagnostiziert Migräne, eine gemischt ängstlich-depressive Störung sowie eine Somatisierungsstörung, ebenfalls ohne spezifische Herleitung und unter deutlichem Hinweis auf die Äusserungen des Ehemanns der Beschwerdeführerin. Im Gegensatz zum ersten amtlichen Gutachten erachtet der Gutachter die Beschwerdeführerin als seit dem 1. April 2013 vollständig arbeitsunfähig. Der psychische Gesundheitszustand sei derart labil, dass auch eine Haushaltstätigkeit nicht regelmässig ohne Fremdhilfe durchgeführt werden könne. Auch bei einer körperlich leichten Tätigkeit ohne Zeitdruck sei mit weitaus längeren Pausen als üblich nötig und vermehrten Krankenständen zu rechnen. Gleichzeitig weist er aber darauf hin, dass die (zumutbaren) Therapiemöglichkeiten nicht ausgeschöpft seien (häufigere Gesprächstherapie, stationäre Behandlungen im Schwergewicht Psychosomatik).</w:t>
      </w:r>
    </w:p>
    <w:p>
      <w:r>
        <w:rPr>
          <w:b/>
        </w:rPr>
        <w:t>E. 6.4.3</w:t>
      </w:r>
    </w:p>
    <w:p>
      <w:r>
        <w:t>Die behandelnde Psychiaterin, Dr. C._______, attestiert in ihren Attesten vom 15. De­zember 2012 (IV-act. 12) bzw. 20. April 2013 (IV-act. 11) ein Burn-Out, eine Somatisierungsstörung sowie eine gemischt ängstlich-de­pres­sive Störung. Sie spricht der Beschwerdeführerin prospektiv die Arbeitsfähigkeit ab.</w:t>
      </w:r>
    </w:p>
    <w:p>
      <w:r>
        <w:rPr>
          <w:b/>
        </w:rPr>
        <w:t>E. 6.4.4</w:t>
      </w:r>
    </w:p>
    <w:p>
      <w:r>
        <w:t>Dr. H._______ vom RAD Rhone wiederum diagnostiziert Angst und depressive Störung gemischt (ICD-10: F41.2) und führt aus, es liege eine chronische Angststörung leichteren Grades vor, die nicht austherapiert sei. Eine volle Zumutbarkeit der Arbeitsfähigkeit gemäss der österreichischen Gutachter (D._______ und F._______ [IV-act. 19 f.]) sei nachvollziehbar (eine schrittweise Arbeitsaufnahme wie vom Gutachter erwähnt sei für die medizinisch-theoretische Zumutbarkeit nicht relevant). Zwar variierten die Codierungen der Ärzte, alle Psychiater beschrieben aber denselben Zustand und codierten im Bereich F4 der neurotischen und Angststörungen, die beschriebenen Syndrome überschnitten sich erheblich. Unter Kenntnisnahme des Gutachtens I._______ führte er ergänzend aus, das Gutachten enthalte keine zusätzlichen Sachverhaltselemente, die Psychopathologie sei deckungsgleich mit seiner früheren Beurteilung, auch die Diagnose F41.2 (chronischer neurotischer ängstlich-depressiver Zustand) entspreche seiner Diagnosenstellung (IV-act. 32). Die Schlussfolgerungen betreffend die Arbeitsfähigkeit unterschieden sich jedoch; allerdings halte auch Dr. I._______ fest, dass die Therapiemöglichkeiten nicht ausgeschöpft seien. Eine Erkrankung mit dem ICD-10 Code F41.2 sei ohne Auswirkungen auf die Arbeitsfähigkeit. Das Gutachten rechtfertige daher keine Abweichung von der bisherigen Beurteilung (IV-act. 23 S. 5; 32).</w:t>
      </w:r>
    </w:p>
    <w:p>
      <w:r>
        <w:rPr>
          <w:b/>
        </w:rPr>
        <w:t>E. 6.5</w:t>
      </w:r>
    </w:p>
    <w:p>
      <w:r>
        <w:t>Obwohl die Ärzte und Gutachter in psychiatrischer Hinsicht ähnliche oder deckungsgleiche Diagnosen festhalten, gehen ihre Beurteilungen bezüglich der Beurteilung der Arbeitsfähigkeit diametral auseinander, ohne dass sich diese Diskrepanz abschliessend erklären und mit dem Beweisgrad der überwiegenden Wahrscheinlichkeit nachvollziehen lässt. Wohl ist zutreffend, dass die Pathologie gemäss der geschilderten Befunderhebung - auch in den vorliegend nicht zu berücksichtigenden Gutachten vom 3. und 21. Oktober 2014 (vgl. E. 5.3) - gegen eine schwere Erkrankung aus dem psychiatrischen Formenkreis spricht (die Beschwerdeführerin übernimmt für alle im Haushalt die Wäsche [Waschen und Bügeln], kocht für alle, pflegt einen geregelten Tagesablauf, Freizeitaktivitäten nachmittags, gelegentlich auch Treffen von Freunden oder Freundinnen, ist im psychopathologischen Status bewusstseinsklar, allseits orientiert, ohne wesentliche Beeinträchtigung von Auffassung, Aufmerksamkeit und Konzentration, mit klarem Gedankenduktus, zum Ziel gelangend, ohne formale Denkstörungen, der Affekt ist auch ins Positive affizierbar, der Antrieb erscheint ungestört, psychomotorisch bestehen keine Auffälligkeiten, es bestehen weder Wahn noch Halluzinationen und unter laufender Medikation auch keine Schlafstörungen). Eine abschliessende und die Würdigung im Gerichtsgutachten in ihrer Beweiskraft übersteigende Würdigung durch den RAD liegt jedoch nicht vor, zumal er die Beschwerdeführerin nicht persönlich untersucht hat. Durch die Diagnose einer Somatisierungsstörung wird schliesslich ein pathogenetisch-ätiologisch unklares syndromales Beschwerdebild ohne nachweisbare organische Grund­lage attestiert, welches nach den bundesgerichtlichen Kriterien (E. 5.6.3) eingehend zu würdigen ist. Weder den österreichischen Gutachten noch der darauf beruhenden Beurteilung des RAD sind jedoch eine solche Würdigung oder die Grundlagen für eine Würdigung durch das Gericht zu entnehmen. Ob allenfalls eine Arbeitsunfähigkeit anzunehmen wäre, wurde demnach nicht beweiskräftig erstellt.</w:t>
      </w:r>
    </w:p>
    <w:p>
      <w:r>
        <w:rPr>
          <w:b/>
        </w:rPr>
        <w:t>E. 7.1</w:t>
      </w:r>
    </w:p>
    <w:p>
      <w:r>
        <w:t>Die Beschwerde ist insofern begründet, als der psychiatrische Gesundheitszustand der Beschwerdeführerin nicht rechtsgenüglich abgeklärt wurde.</w:t>
      </w:r>
    </w:p>
    <w:p>
      <w:r>
        <w:rPr>
          <w:b/>
        </w:rPr>
        <w:t>E. 7.2</w:t>
      </w:r>
    </w:p>
    <w:p>
      <w:r>
        <w:t>Das Gericht kann die Sache selbst untersuchen und entscheiden oder die Sache ausnahmsweise an die Vorinstanz zurückverweisen (Art. 54, 61 Abs. 1 VwVG). Das Bundesgericht anerkennt dabei die grundsätzlich bessere Eignung der Verwaltung zur Abklärung im Sozialversicherungswesen (BGE 137 V 210 E. 4.4.1.2) und sieht insbesondere im Falle einer, wie vorliegend, notwendigen Begutachtung im Lichte der geänderten Rechtsprechung zu pathogenetisch-ätiologisch unklaren syndromalen Beschwerdebilder ohne nachweisbare organische Grundlage eine Zurück­verweisung an die Vorinstanz als gerechtfertigt (Urteil BGer 8C_10/2015 vom 05. September 2015 E. 6.4).</w:t>
      </w:r>
    </w:p>
    <w:p>
      <w:r>
        <w:rPr>
          <w:b/>
        </w:rPr>
        <w:t>E. 7.3</w:t>
      </w:r>
    </w:p>
    <w:p>
      <w:r>
        <w:t>Aktenkundig wurde bei der Beschwerdeführerin eine Somatisierungsstörung (B.b) und Fibromyalgie (Sachv. D.g) diagnostiziert. Die Sache ist deshalb mit der Auflage der Prüfung auf Grundlage der neuen bundesgerichtlichen Kriterien im Rahmen einer rheumatologisch-psy­chia­trischen Begutachtung an die Vorinstanz zurückzuverweisen. Es bleibt ihr und den Gutachtern überlassen, ob sie allenfalls weitere Fachdisziplinen beiziehen möchten. Darauf hinzuweisen bleibt, dass die Vorinstanz vorliegend von der Anwendbarkeit der gemischten Methode zur Berechnung des Invaliditätsgrades ausgegangen ist (vgl. IV-act. 24, B-act. 1 Beilage 1). Sie wird daher ergänzend zu prüfen haben, wie der neuesten Rechtsprechung des Europäischen Gerichtshofes für Menschenrechte (Arrêt di Trizio; vgl. dazu Urteil des Bundesverwaltungsgerichts C-300/2014 vom 27. Juli 2016 E. 5.7.3) gebührend Rechnung getragen werden kann und keine diskriminierende Berechnung des Invaliditätsgrades erfolgt.</w:t>
      </w:r>
    </w:p>
    <w:p>
      <w:r>
        <w:rPr>
          <w:b/>
        </w:rPr>
        <w:t>E. 7.4</w:t>
      </w:r>
    </w:p>
    <w:p>
      <w:r>
        <w:t>Die weiteren Rügen der Beschwerdeführerin gegen die Beurteilung des RAD können nach diesen Erwägungen offen bleiben. Ihr Prozessantrag zur unabhängigen Begutachtung (Sachv. D.d) wird als gegenstandlos abgeschrieben.</w:t>
      </w:r>
    </w:p>
    <w:p>
      <w:r>
        <w:rPr>
          <w:b/>
        </w:rPr>
        <w:t>E. 8</w:t>
      </w:r>
    </w:p>
    <w:p>
      <w:r>
        <w:t>Zu befinden bleibt über die Verfahrenskosten und eine allfällige Parteientschädigung.</w:t>
      </w:r>
    </w:p>
    <w:p>
      <w:r>
        <w:rPr>
          <w:b/>
        </w:rPr>
        <w:t>E. 8.1</w:t>
      </w:r>
    </w:p>
    <w:p>
      <w:r>
        <w:t>Die Verfahrenskosten sind in der Regel der unterliegenden Partei aufzuerlegen (Art. 63 Abs. 1 VwVG). Der Vorinstanz werden allerdings keine Verfahrenskosten auferlegt (Art. 63 Abs. 2 VwVG).</w:t>
      </w:r>
    </w:p>
    <w:p>
      <w:r>
        <w:rPr>
          <w:b/>
        </w:rPr>
        <w:t>E. 8.2</w:t>
      </w:r>
    </w:p>
    <w:p>
      <w:r>
        <w:t>Die Beschwerdeführerin hat Anspruch auf eine Parteientschädigung zu Lasten der Vorinstanz für die ihm erwachsenen notwendigen Kosten (Art. 64 Abs. 1 VwVG i.V.m. Art. 7ff des Reglements vom 21. Februar 2008 über die Kosten und Entschädigungen vor dem Bundesverwaltungsgericht (VGKE, SR 173.320.2). Der Rechtsvertreter hat keine Honorarnote eingereicht, weshalb das Gericht auf Grund der Akten entscheidet (Art. 14 Abs. 2 VGKE). Der Beschwerdeführerin wird eine Parteientschädigung zulasten der Vorinstanz von Fr. 2'000.- (inkl. Auslagen, ohne MwSt.) zugesprochen.</w:t>
      </w:r>
    </w:p>
    <w:p>
      <w:r>
        <w:rPr>
          <w:b/>
        </w:rPr>
        <w:t>E. 8.3</w:t>
      </w:r>
    </w:p>
    <w:p>
      <w:r>
        <w:t>Einer Partei können private Gutachtenskosten im Beschwerdeverfahren ersetzt werden, wenn sich das Urteil darauf abstützt (BGE 115 V 62). Das ist hier bezüglich der im Schriftenwechsel eingereichten Spitalrechnung (Sachv. D.d) nicht der Fall, wurde die Zurückweisung doch nicht durch sie begründet. Insofern eine Kostenübernahme durch die Vor­instanz begehrt würde, mangelte es angesichts der Ungeeignetheit zur Beurteilung des Gesundheitszustands an einer für die Zusprechung von Leistungen unerlässlichen Abklärung (Art. 78 Abs. 3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