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C-4196/2019 vom 21. Juni 2021</w:t>
      </w:r>
    </w:p>
    <w:p>
      <w:r>
        <w:t>Bundesverwaltungsgericht, 2021-06-21, DE</w:t>
      </w:r>
    </w:p>
    <w:p>
      <w:r>
        <w:rPr>
          <w:b/>
        </w:rPr>
        <w:t xml:space="preserve">Quelle: </w:t>
      </w:r>
      <w:r>
        <w:t>https://mcp.opencaselaw.ch/entscheid/bvger_C-4196_2019</w:t>
      </w:r>
    </w:p>
    <w:p>
      <w:r>
        <w:t>FR: TAF C-4196/2019 du 21 juin 2021</w:t>
      </w:r>
    </w:p>
    <w:p>
      <w:r>
        <w:t>IT: TAF C-4196/2019 del 21 giugno 2021</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Die vorliegende Beschwerde wurde frist- und formgerecht eingereicht (Art. 60 Abs. 1 i.V.m. Art. 38 Abs. 4 Bst. b ATSG; Art. 52 Abs. 1 VwVG).</w:t>
      </w:r>
    </w:p>
    <w:p>
      <w:r>
        <w:rPr>
          <w:b/>
        </w:rPr>
        <w:t>E. 2</w:t>
      </w:r>
    </w:p>
    <w:p>
      <w:r>
        <w:t>Im Folgenden ist zu prüfen, ob die Prozessvoraussetzungen erfüllt sind.</w:t>
      </w:r>
    </w:p>
    <w:p>
      <w:r>
        <w:rPr>
          <w:b/>
        </w:rPr>
        <w:t>E. 2.1</w:t>
      </w:r>
    </w:p>
    <w:p>
      <w:r>
        <w:t>Die Beschwerdeführerin 1 (Beiständin der Beschwerdeführerin 2) führt sowohl im Namen der Beschwerdeführerin 2 als auch in eigenem Namen Beschwerde. Die Beschwerdelegitimation der beiden Beschwerdeführerinnen bzw. die entsprechenden Voraussetzungen sind daher separat zu prüfen (vgl. E. 2.2.4).</w:t>
      </w:r>
    </w:p>
    <w:p>
      <w:r>
        <w:rPr>
          <w:b/>
        </w:rPr>
        <w:t>E. 2.1.1</w:t>
      </w:r>
    </w:p>
    <w:p>
      <w:r>
        <w:t>Die Beschwerdelegitimation gemäss Art. 48 VwVG setzt die Partei- und Prozessfähigkeit voraus, welche sich nach dem Zivilrecht bestimmen (Isabelle Häner, in: Kommentar zum VwVG, 2. Aufl. 2019, Art. 48 VwVG Rz. 5). Parteifähig ist, wer rechtsfähig ist (Art. 11 und Art. 53 ZGB). Prozessfähig ist, wer handlungsfähig ist (Art. 13 und Art. 17 ZGB). Die Partei- und Prozessfähigkeit der Parteien bilden Prozessvoraussetzungen (Fritz Gygi, Bundesverwaltungsrechtspflege, 2. Aufl. 1983, S. 72). Die Handlungsfähigkeit kann durch eine Massnahme des Erwachsenenschutzes eingeschränkt werden (Art. 19d ZGB). Ist die Handlungsfähigkeit einer Person durch die Errichtung einer Beistandschaft eingeschränkt und handelt der Beistand in Vertretung der betroffenen Person, bedarf die Prozessführung der Zustimmung der Erwachsenenschutzbehörde (Art. 416 Abs. 1 Ziff. 9 ZGB). Das gilt auch in Verwaltungsstreitigkeiten. Das Vorliegen der Ermächtigung ist eine Prozessvoraussetzung (Yvo Biderbost, in: FamKomm, Erwachsenenschutz, 2013, Art. 416 ZGB Rz. 35).</w:t>
      </w:r>
    </w:p>
    <w:p>
      <w:r>
        <w:rPr>
          <w:b/>
        </w:rPr>
        <w:t>E. 2.1.2</w:t>
      </w:r>
    </w:p>
    <w:p>
      <w:r>
        <w:t>Im internationalen Verhältnis untersteht die Handlungsfähigkeit einer natürlichen Person aufgrund von Art. 35 IPRG (SR 291) dem Recht an ihrem Wohnsitz. Die Prozessfähigkeit als Ausfluss der Handlungsfähigkeit folgt deren internationalprivatrechtlichen Anknüpfung (Roland Fankhauser, in: Basler Kommentar, Zivilgesetzbuch I, 6. Aufl. 2018, Art. 12 ZGB Rz. 52 m.H.). Die Beschränkung der Handlungsfähigkeit durch erwachsenenschutzrechtliche Massnahmen richtet sich allerdings nach dem gemäss Art. 85 Abs. 2 IPRG bzw. Haager Erwachsenenschutzübereinkommen vom 13. Januar 2000 (HEsÜ, SR 0.211.232.1) anwendbaren Recht (Markus Müller-Chen, in: Zürcher Kommentar zum IPRG, Band I, 3. Aufl. 2018, Art. 35 IPRG Rz. 20). Art. 14 HEsÜ besagt, dass wenn eine in einem Vertragsstaat getroffene Massnahme in einem anderen Vertragsstaat durchgeführt wird, das Recht dieses anderen Staates die Bedingungen bestimmt, unter denen sie durchgeführt wird. Im Ausland angeordnete Schutzmassnahmen (z.B. Beistandsbestellung), welche in der Schweiz durchgeführt werden sollen, unterstehen bezüglich der Bedingungen der Durchführung (z.B. Genehmigungserfordernisse durch Erwachsenenschutzbehörden) also schweizerischem Recht (Daniel Füllemann, Das internationale Privat- und Zivilprozessrecht des Erwachsenenschutzes, Diss. 2008, Rz. 249 ff., 473). Diese Regelung gilt analog auch gegenüber Nichtvertragsstaaten wie Ungarn (vgl. Füllemann, a.a.O., Rz. 257, 438), wobei Art. 14 HEsÜ nur Verschärfungen der Durchführungsbedingungen des Durchführungsstaates gegenüber dem Anordnungsstaat erfasst (Füllemann, a.a.O., Rz. 256). Erwachsenenschutzmassnahmen, die in einem Staat ergangen sind, der - wie Ungarn - nicht Vertragsstaat des in Abs. 2 von Art. 85 IPRG erwähntem HEsÜ ist, werden anerkannt, wenn sie im Staat des gewöhnlichen Aufenthalts des Erwachsenen ergangen sind oder dort anerkannt werden (Art. 85 Abs. 4 i.V.m. Art. 25 ff. IPRG).</w:t>
      </w:r>
    </w:p>
    <w:p>
      <w:r>
        <w:rPr>
          <w:b/>
        </w:rPr>
        <w:t>E. 2.1.3</w:t>
      </w:r>
    </w:p>
    <w:p>
      <w:r>
        <w:t>Die Prozessvoraussetzungen sind von Amtes wegen zu prüfen und müssen nachgewiesen sein, ansonsten sich die urteilende Instanz nicht materiell mit der Sache befassen darf. Den Beschwerdeführenden obliegt die Substantiierungslast - wobei die Beschwerdeinstanz aber nicht an deren Vorbringen gebunden ist (vgl. Art. 62 Abs. 4 VwVG) - und sie tragen die Beweislast dafür, dass die Prozessvoraussetzungen erfüllt sind (vgl. Gygi, a.a.O., S. 73 f.). Die Untersuchungsmaxime gilt damit (auch) im Bereich der Prozessvoraussetzungen nicht uneingeschränkt (Kölz/Häner/ Bertschi, Verwaltungsverfahren und Verwaltungsrechtspflege des Bundes, 3. Aufl. 2013, Rz. 693). Die Beschwerdeführenden trifft eine Mitwirkungspflicht sowohl in Tatfragen (vgl. Art. 13 VwVG), als auch bei der Rechtsanwendung (vgl. Ueli Kieser, Das Verwaltungsverfahren in der Sozialversicherung, 1999, Rz. 234 m.H. auf BGE 110 V 48 E. 4a und 116 V 23 E. 3d; betreffend ausländisches Recht: vgl. Art. 16 Abs. 1 IPRG sowie Urteil des BVGer B-5964/2017 vom 10. Mai 2019 E. 4.8). Allerdings muss die Mitwirkung für die Beschwerdeführenden stets zumutbar sein. Dabei bestimmt sich nach den konkreten Umständen, was als zumutbar anzusehen ist (vgl. Art. 13 Abs. 2 VwVG; Kieser, a.a.O., Rz. 225). Eine Verletzung der Mitwirkungspflicht liegt vor, wenn diese nicht innert angesetzter Frist erfüllt wird. Falls die Mitwirkung eine Prozessvoraussetzung betrifft, kann nach Androhung der entsprechenden Säumnisfolge auf die Beschwerde nicht eingetreten werden (vgl. Art. 13 Abs. 2 VwVG; Kieser, a.a.O., Rz. 227 ff.).</w:t>
      </w:r>
    </w:p>
    <w:p>
      <w:r>
        <w:rPr>
          <w:b/>
        </w:rPr>
        <w:t>E. 2.2.1</w:t>
      </w:r>
    </w:p>
    <w:p>
      <w:r>
        <w:t>Vorliegend besteht aufgrund der deutsch-ungarischen Doppelbürgerschaft der Beschwerdeführerin 2 sowie ihres Wohnsitzes und Aufenthaltes in Ungarn ein internationaler Sachverhalt. Die hinsichtlich der Beschwerdeführerin 2 in Ungarn nach ungarischem Recht ergangenen, dort rechtskräftigen sowie vollstreckbaren Entscheide, welche Erwachsenenschutzmassnahmen beinhalten (vgl. E. 2.2.2) und vorliegend ins Recht gelegt werden (vgl. insb. BVGer-act. 1/3a und 3b, 13/1a und 1b, 13/2), sind hier anzuerkennen (vgl. E. 2.1.2) und durchzuführen. In Bezug auf die Bedingungen der Durchführung dieser Massnahmen in der Schweiz ist aber - wie erwähnt - grundsätzlich schweizerisches Recht anwendbar, sofern dieses eine Verschärfung vorsieht (vgl. E. 2.1.2).</w:t>
      </w:r>
    </w:p>
    <w:p>
      <w:r>
        <w:rPr>
          <w:b/>
        </w:rPr>
        <w:t>E. 2.2.2</w:t>
      </w:r>
    </w:p>
    <w:p>
      <w:r>
        <w:t>Die vom Rechtsvertreter der Beschwerdeführerinnen vorgelegte deutsche Übersetzung des massgeblichen ungarischen Entscheides vom 17. Juli 2018 (BVGer-act. 1/3b S. 1 und 2) besagt im Wesentlichen Folgendes: Die Beschwerdeführerin 2 ist in ihrer Handlungsfähigkeit teilweise eingeschränkt, u.a. hinsichtlich der "Vermögensverwaltung (bewegliche Sachen vom höheren Wert, Immobilie, Bankkonto)" sowie der "Verwaltung des Einkommens aus Altersleistungen (Rente)". Als "Betreuer" der Beschwerdeführerin 2 wird ihre Enkelin bzw. die Beschwerdeführerin 1 bestellt. Diese gilt "ab dem Tag nach der Mitteilung der Entscheidung" betreffend die erwähnten Angelegenheiten als "Vermögensverwalter und gesetzlicher Vertreter" der Beschwerdeführerin 2. "Zur Gültigkeit der Rechtserklärungen" in Bezug auf die Angelegenheiten, hinsichtlich welcher die Beschwerdeführerin 2 in ihrer Handlungsfähigkeit eingeschränkt ist, "ist die Zustimmung ihres Betreuers notwendig". Schliesslich hält der besagte Entscheid fest, dass es "zur Gültigkeit der Rechtserklärungen der in der Handlungsfähigkeit teilweise eingeschränkten Person und ihres Betreuers ... der Zustimmung der Betreuungsbehörde" bedarf, "wenn die Rechtserklärung den Unterhalt der in der Handlungsfähigkeit teilweise eingeschränkten Person" betrifft.</w:t>
      </w:r>
    </w:p>
    <w:p>
      <w:r>
        <w:rPr>
          <w:b/>
        </w:rPr>
        <w:t>E. 2.2.3</w:t>
      </w:r>
    </w:p>
    <w:p>
      <w:r>
        <w:t>Entgegen der Ansicht des Rechtsvertreters der Beschwerdeführerinnen (BVGer-act. 13 S. 3 f.; 41 S. 4) umfasst die Verwaltung des Vermögens oder des Einkommens der Beschwerdeführerin 2 durch die Beschwerdeführerin 1 nicht ohne weiteres auch die Prozessführung in diesen Angelegenheiten. Die Prozessführung geht über die ordentliche Verwaltungstätigkeit hinaus (vgl. z.B. BGE 80 II 14) und rechtfertigt aufgrund ihrer Bedeutung und Risiken - wie das Schweizer Recht zeigt (vgl. Art. 416 Abs. 1 Ziff. 9 sowie z.B. auch Art. 374 Abs. 3 ZGB) - eine gesonderte Regelung. Dies gilt umso mehr, als die Beschwerdeführerin 1 laut dem erwähnten ungarischen Entscheid (vgl. E. 2.2.2) in den aufgezählten Angelegenheiten als gesetzliche Vertreterin der in ihrer Handlungsfähigkeit eingeschränkten Beschwerdeführerin 2 fungiert, was für das Vorliegen einer Vertretungsbeistandschaft (vgl. Art. 394 f. ZGB) spricht (vgl. Philippe Meier, in: FamKomm, Erwachsenenschutz, a.a.O., Art. 394 ZGB Rz. 15 ff.), welche nach dem schweizerischen Recht hinsichtlich der Prozessführung die Zustimmung der Erwachsenenschutzbehörde erfordert (vgl. E. 2.1.1; Meier, a.a.O., Art. 394 ZGB Rz. 35). Im Übrigen geht auch der Rechtsvertreter - trotz Zustimmung der Beschwerdeführerin 2 zur Beschwerdeerhebung - von einer Vertretungsbefugnis der Beschwerdeführerin 1 aus (BVGer-act. 1 S. 1 sowie u.a. BVGer-act. 13 S. 5). Der genannte ungarische Entscheid sieht für "Rechtserklärungen der in der Handlungsfähigkeit teilweise eingeschränkten Person und ihres Betreuers" betreffend Unterhalt - wie erwähnt (vgl. E. 2.2.2) - ebenfalls die "Zustimmung der Betreuungsbehörde" vor. Dass die schweizerische Altersrente zum Einkommen der Beschwerdeführerin 2 gehört und damit deren Unterhalt betrifft, ergibt sich aus dem genannten Entscheid (BVGer-act. 1/3b S. 4; vgl. dazu auch BVGer-act. 5, 30). Was hingegen als "Rechtserklärung" zu gelten hat, wird im ungarischen Entscheid nicht erläutert (vgl. auch die vom Gericht veranlasste deutsche Übersetzung: BVGer-act. 16/5). In Frage kommen sowohl materiell- als auch prozessrechtliche Erklärungen, welche beide im Rahmen eines Prozesses abgegeben werden können. Auch die Beschwerdeerhebung an sich kann als rechtliche Erklärung im Sinne des Entscheides verstanden werden, welche die Zustimmung der Betreuungsbehörde erforderlich macht. Damit ist sowohl gemäss dem schweizerischen Recht als auch nach dem besagten ungarischen Entscheid für die vorliegende Prozessführung eine Zustimmung der zuständigen Erwachsenenschutzbehörde in Ungarn (vgl. Biderbost, a.a.O., Art. 416 ZGB Rz. 39; Füllemann, a.a.O., Rz. 442 ff.) notwendig.</w:t>
      </w:r>
    </w:p>
    <w:p>
      <w:r>
        <w:rPr>
          <w:b/>
        </w:rPr>
        <w:t>E. 2.2.4</w:t>
      </w:r>
    </w:p>
    <w:p>
      <w:r>
        <w:t>Nach dem Gesagten handelt die Beschwerdeführerin 1 hier - aufgrund ihrer gesetzlichen Vertretungsmacht - für die verbeiständete Beschwerdeführerin 2 und mit Wirkung für diese (Biderbost/Henkel, in: Basler Kommentar, Zivilgesetzbuch I, a.a.O., Art. 394 ZGB Rz. 18). Als gesetzliche Vertreterin der Beschwerdeführerin 2 hat die Beschwerdeführerin 1 deshalb in deren Namen zu handeln. Für die Prozessführung, welche in Vertretung der Beschwerdeführerin 2 erfolgt bzw. auf einer Vertretungskompetenz der Beschwerdeführerin 1 beruht, ist jedenfalls - wie dargelegt - die Zustimmung der zuständigen Erwachsenenschutzbehörde in Ungarn erforderlich, welche vorliegend jedoch fehlt. Hinsichtlich ihrer eigenen Beschwerdelegitimation macht die Beschwerdeführerin 1 keine expliziten Aussagen. Selbst wenn die Beschwerdeführerin 1 den Prozess in eigenem Namen und - unabhängig von der vertretenen Beschwerdeführerin 2 - einzig gestützt auf ihre amtliche Stellung als Beiständin führen sollte, wäre zumindest aufgrund des ungarischen Entscheides ebenfalls vom Zustimmungserfordernis der ungarischen Betreuungsbehörde auszugehen (vgl. E. 2.2.2. f.). Eine Zustimmung der zuständigen Erwachsenenschutzbehörde in Ungarn für die Prozessführung der beiden Beschwerdeführerinnen liegt aber nicht vor.</w:t>
      </w:r>
    </w:p>
    <w:p>
      <w:r>
        <w:rPr>
          <w:b/>
        </w:rPr>
        <w:t>E. 2.2.5</w:t>
      </w:r>
    </w:p>
    <w:p>
      <w:r>
        <w:t>Der Instruktionsrichter forderte den Rechtsvertreter der Beschwerdeführerinnen zur Mitwirkung auf. Er lud ihn - unter Androhung des Nichteintretens bei Säumnis - mit Verfügung vom 6. September 2019 erstmals ein, bei der zuständigen Betreuungsbehörde in Ungarn eine Zustimmungserklärung zur Führung des vorliegenden Beschwerdeverfahrens einzuholen (BVGer-act. 5). Die entsprechende Frist zur Einholung bzw. Einreichung der Zustimmungserklärung oder der Nachweise betreffend die gegenüber der zuständigen Regierungsstelle unternommenen Schritte wurde seitens des Instruktionsrichters auf Gesuch hin viele Male erstreckt (vgl. Sachverhalt Bst. C). Dennoch reichte die Rechtsvertretung bis zum Ablauf der letztmals erstreckten Frist am 15. März 2021 (BVGer-act. 42) weder die angeforderte Zustimmungserklärung noch die verlangten Nachweise der unternommenen Schritte ein. Seitens der Beschwerdeführerinnen wird sinngemäss geltend gemacht, es sei nicht möglich gewesen, bei der ungarischen Behörde die besagte Erklärung zu erlangen (BVGer-act. 45 S. 2). Die vorgelegten Belege dokumentieren aber in keiner Weise die vom Gericht geforderten Schritte bzw. die entsprechende Korrespondenz mit der zuständigen Betreuungsbehörde (wie namentlich Gesuche, Schreiben an die Behörde, Mitteilungen, Verfügungen und Entscheide der Behörde; vgl. BVGer-act. 40). Vielmehr handelt es sich bei den eingereichten Unterlagen einzig um die Korrespondenz bzw. den Mailverkehr zwischen dem Rechtsvertreter der Beschwerdeführerinnen, seinem Kontaktanwalt in Ungarn sowie seiner Klientin D._______ (BVGer-act. 34/1-3, 41/1-3, 45/1). Die in diesen Unterlagen geäusserten, angeblich erfolglos gebliebenen Bemühungen gegenüber den zuständigen Behörden in Ungarn sind nicht belegt. Die gerichtlich verlangten Nachweise der bislang gegenüber den ungarischen Behörden unternommenen Schritte sind damit nicht erbracht. Anders als der Rechtsvertreter der Beschwerdeführerinnen immer wieder geltend macht (vgl. z.B. BVGer-act. 41 S. 3), verlangte der Instruktionsrichter im Übrigen keine weiteren Ausführungen zum ungarischen Entscheid. Dass durch den Umzug der Beschwerdeführerinnen nach (...) die Regierungsstelle F._______ für die Erteilung der Zustimmungserklärung nicht mehr zuständig sein soll, kann schliesslich die fehlenden Nachweise ebenso wenig rechtfertigen (vgl. BVGer-act. 41/1). Die geforderte und zumutbare Mitwirkung wurde seitens der Beschwerdeführerinnen damit nicht geleistet. Die erforderliche Zustimmung der zuständigen Erwachsenenschutzbehörde zur Führung des vorliegenden Prozesses fehlt, weshalb die Prozessvoraussetzungen nicht nachgewiesen sind. Auf die Beschwerde ist daher androhungsgemäss und ohne Einholung einer Vernehmlassung (vgl. Art. 57 Abs. 1 VwVG e contrario) nicht einzutreten.</w:t>
      </w:r>
    </w:p>
    <w:p>
      <w:r>
        <w:rPr>
          <w:b/>
        </w:rPr>
        <w:t>E. 3</w:t>
      </w:r>
    </w:p>
    <w:p>
      <w:r>
        <w:t>Es bleibt über die Verfahrenskosten und eine allfällige Parteientschädigung zu befinden.</w:t>
      </w:r>
    </w:p>
    <w:p>
      <w:r>
        <w:rPr>
          <w:b/>
        </w:rPr>
        <w:t>E. 3.1</w:t>
      </w:r>
    </w:p>
    <w:p>
      <w:r>
        <w:t>Das Verfahren ist für die Parteien kostenlos (Art. 85bis Abs. 2 AHVG), so dass keine Verfahrenskosten zu erheben sind.</w:t>
      </w:r>
    </w:p>
    <w:p>
      <w:r>
        <w:rPr>
          <w:b/>
        </w:rPr>
        <w:t>E. 3.2</w:t>
      </w:r>
    </w:p>
    <w:p>
      <w:r>
        <w:t>Die obsiegende Vorinstanz hat als Bundesbehörde keinen Anspruch auf Parteientschädigung (Art. 7 Abs. 3 des Reglements vom 21. Februar 2008 über die Kosten und Entschädigungen vor dem Bundesverwaltungsgericht [VGKE, SR 73.320.2]). Die unterliegenden Beschwerdeführerinnen haben ebenfalls keinen Anspruch auf Parteientschädigung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