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C-4193/2008 vom 23. April 2010</w:t>
      </w:r>
    </w:p>
    <w:p>
      <w:r>
        <w:t>Bundesverwaltungsgericht, 2010-04-23, FR</w:t>
      </w:r>
    </w:p>
    <w:p>
      <w:r>
        <w:rPr>
          <w:b/>
        </w:rPr>
        <w:t xml:space="preserve">Quelle: </w:t>
      </w:r>
      <w:r>
        <w:t>https://mcp.opencaselaw.ch/entscheid/bvger_C-4193_2008</w:t>
      </w:r>
    </w:p>
    <w:p>
      <w:r>
        <w:t>FR: TAF C-4193/2008 du 23 avril 2010</w:t>
      </w:r>
    </w:p>
    <w:p>
      <w:r>
        <w:t>IT: TAF C-4193/2008 del 23 aprile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8.2</w:t>
      </w:r>
    </w:p>
    <w:p>
      <w:r>
        <w:t>En l'espèce, le recourant a bénéficié d'une rente entière d'invalidité depuis le 1er janvier 1998 ensuite de la décision de l'OAI-VD du 4 décembre 2000. La question de savoir si le degré d'invalidité a subi depuis lors une modification doit donc être jugée en comparant les faits tels qu'ils se présentaient à l'époque de la décision du 4 décembre 2000 et ceux qui ont existé à la date de la décision litigieuse du 21 mai 2008.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8.3</w:t>
      </w:r>
    </w:p>
    <w:p>
      <w:r>
        <w:t>L'art. 53 al. 2 LPGA prévoit que l'assureur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les références).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I 375/02 du 6 mai 2003 consid. 2.2).</w:t>
      </w:r>
    </w:p>
    <w:p>
      <w:r>
        <w:rPr>
          <w:b/>
        </w:rPr>
        <w:t>E. 9.1</w:t>
      </w:r>
    </w:p>
    <w:p>
      <w:r>
        <w:t>Le droit à une rente de l'assurance invalidité a été octroyé à A._______ dans un contexte d'appréciation médicale globale marquée par des états de fatigue liés à la maladie de Basedow, des troubles somatoformes douloureux et des douleurs lombo-vertébrales chroniques sur troubles statiques et dégénératifs sans trouble sensitivo-moteur. Selon le médecin rapporteur, le pronostic était hautement réservé quant à la possibilité de retrouver une pleine capacité de travail par des mesures professionnelles ou par des mesures médicales. Force est de constater que les pièces versées au dossier à l'époque de l'octroi de la rente révèlent des diagnostics occasionnant des limitations fonctionnelles prononcées en considération de l'activité habituelle de l'assuré, comme par exemple l'exclusion de port de charge. Au cours de l'instruction subséquente menée par l'OAI-VD, des éléments invalidants de la sphère psychique se sont dévoilés, les plaintes de douleurs à la région lombaires ont été constantes et la gène occasionnée par le dysfonctionnement de la thyroïde s'est montrée persistante.</w:t>
      </w:r>
    </w:p>
    <w:p>
      <w:r>
        <w:rPr>
          <w:b/>
        </w:rPr>
        <w:t>E. 9.2</w:t>
      </w:r>
    </w:p>
    <w:p>
      <w:r>
        <w:t>Dans son certificat médical du 13 juillet 2005, le Dr B._______ a attesté d'une incapacité de travail de 70%, taux qu'il a maintenu dans son rapport médical du 11 juillet 2007. Dans ce rapport, ce médecin a décrit des limitations fonctionnelles qui sont incompatibles avec l'exercice à plus de 30% de la profession d'installateur sanitaire, soit l'impossibilité de se baisser, de se déplacer sur un sol irrégulier ou en pente, de se maintenir à genoux, d'incliner le buste ou de lever et porter des charges de plus de 3 kg. On relèvera par ailleurs ici que les recourant a cessé toute forme d'activité lucrative à la fin de l'année 2004. A la lecture du dernier rapport du Dr B._______, il apparaît que la péjoration alléguée de la capacité de travail du recourant est avant tout imputable à des éléments relevant de la sphère psychique, soit un état dépressif d'intensité moyenne avec symptôme somatique (ICD10 F 32.11). En tout état de cause, force est de constater que le Dr B._______ ne décrit ni un état de santé ni une capacité de travail améliorés par rapport à ceux prévalant en 2000 lors de l'octroi initial de la demi-rente. Appelé par l'OAI-VD à se prononcer sur le dossier, le Dr C._______ du SMR Suisse romande s'est déterminé dans son avis médical du 27 novembre 2007. Il ressort de ce document que l'état de santé, et par conséquent la capacité de travail, ne s'étaient pas modifiés entre l'octroi de la rente et le 23 décembre 2003, mais que ceux-ci ont connu une aggravation - attestée les 4 janvier 2005 et 11 juillet 2007 par le Dr. B._______ - qui « semble remonter à 2004 » et qui serait stable depuis lors. En outre, le Dr C._______ n'a pas observé d'éléments qui seraient propres à jeter un doute sur l'appréciation du Dr B._______.</w:t>
      </w:r>
    </w:p>
    <w:p>
      <w:r>
        <w:rPr>
          <w:b/>
        </w:rPr>
        <w:t>E. 10</w:t>
      </w:r>
    </w:p>
    <w:p>
      <w:r>
        <w:t>Au vu de ce qui précède, on ne saurait suivre sans condition l'autorité inférieure lorsqu'elle effectue la comparaison des revenus par rapport à des salaires effectivement réalisés en 2002 et 2003 dans sa décision du 21 mai 2008 alors que le recourant a quitté son travail en Suisse fin 2004 et, selon ses allégations, n'exerce plus d'activité lucrative depuis lors. Le Tribunal administratif fédéral est donc d'avis que l'argumentation soutenue par l'OAIE n'est pas suffisamment étayée par des pièces médicales concluantes et que les différents rapports et certificats médicaux sont en contradiction avec la persistance d'une capacité de gain significative dans l'activité habituelle, que d'ailleurs le recourant n'exerce plus depuis 2004, et ne se prononcent pas sur l'exigibilité d'activités de substitution. En fin de compte, le dossier ne permet ni d'évaluer les atteintes dont souffre actuellement le recourant ni de conclure à une amélioration de son état de santé jusqu'à la date de la décision litigieuse. De plus, en l'absence d'indications précises concernant les activités de substitution raisonnablement exigibles, aucune comparaison des revenus conformément à l'art. 16 LPGA ne peut être effectuée. Aussi le Tribunal administratif fédéral ne peut-il se prononcer et se doit-il, en application de l'art. 61 PA, d'admettre partiellement le recours, d'annuler la décision entreprise et de renvoyer le dossier à l'OAIE afin qu'il établisse par tous moyens utiles, notamment une expertise pluridisciplinaire en psychiatrie, rhumatologie et endocrinologie à effectuer en Suisse, les informations nécessaires à une évaluation de l'incapacité de travail de l'intéressé dans toute activité raisonnablement exigible, fixe le taux d'invalidité sur la base d'une comparaison des revenus et rende, après avoir accordé au recourant le droit d'être entendu, une nouvelle décision.</w:t>
      </w:r>
    </w:p>
    <w:p>
      <w:r>
        <w:rPr>
          <w:b/>
        </w:rPr>
        <w:t>E. 11</w:t>
      </w:r>
    </w:p>
    <w:p>
      <w:r>
        <w:t>Sur le plan formel le recourant fait grief à l'autorité inférieure d'avoir violé au cours de la procédure administrative son droit d'être entendu, n'ayant pas eu connaissance du rapport du médecin du SMR établi le 27 novembre 2007. Vu l'issue de la procédure, la question d'une éventuelle violation du droit d'être entendu soulevée dans le recours peut rester ouverte.</w:t>
      </w:r>
    </w:p>
    <w:p>
      <w:r>
        <w:rPr>
          <w:b/>
        </w:rPr>
        <w:t>E. 12</w:t>
      </w:r>
    </w:p>
    <w:p>
      <w:r>
        <w:t>Vu l'issue de la cause, il n'est pas perçu de frais de procédure (art. 63 al. 1 et 2 PA, art. 6 let. b du règlement du 21 février 2008 concernant les frais, dépens et indemnités fixés par le Tribunal administratif fédéral [FITAF, RS 173.320.2]). L'avance de frais de Fr. 300.-- versée par le recourant lui sera remboursée. En vertu de l'art. 64 PA - applicable en l'espèce au sens de l'art. 53 al. 2 LTAF - et de l'art. 7 FITAF, la partie ayant obtenu entièrement ou partiellement gain de cause a droit à une indemnité pour les frais indispensables et relativement élevés qui lui ont été occasionnés. L'indemnité pour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1'800.--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