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C-4192/2012 vom 29. April 2013</w:t>
      </w:r>
    </w:p>
    <w:p>
      <w:r>
        <w:t>Bundesverwaltungsgericht, 2013-04-29, DE</w:t>
      </w:r>
    </w:p>
    <w:p>
      <w:r>
        <w:rPr>
          <w:b/>
        </w:rPr>
        <w:t xml:space="preserve">Quelle: </w:t>
      </w:r>
      <w:r>
        <w:t>https://mcp.opencaselaw.ch/entscheid/bvger_C-4192_2012</w:t>
      </w:r>
    </w:p>
    <w:p>
      <w:r>
        <w:t>FR: TAF C-4192/2012 du 29 avril 2013</w:t>
      </w:r>
    </w:p>
    <w:p>
      <w:r>
        <w:t>IT: TAF C-4192/2012 del 29 aprile 2013</w:t>
      </w:r>
    </w:p>
    <w:p>
      <w:pPr>
        <w:pStyle w:val="Heading2"/>
      </w:pPr>
      <w:r>
        <w:t>Regeste</w:t>
      </w:r>
    </w:p>
    <w:p>
      <w:r>
        <w:t>Erleichterte Einbürgerung</w:t>
      </w:r>
    </w:p>
    <w:p>
      <w:pPr>
        <w:pStyle w:val="Heading2"/>
      </w:pPr>
      <w:r>
        <w:t>Erwägungen</w:t>
      </w:r>
    </w:p>
    <w:p>
      <w:r>
        <w:rPr>
          <w:b/>
        </w:rPr>
        <w:t>E. 1.1</w:t>
      </w:r>
    </w:p>
    <w:p>
      <w:r>
        <w:t>Verfügungen des BFM betreffend erleichterte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Gesetz nichts anderes bestimmt (vgl. auch Art. 2 Abs. 4 VwVG).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2011/43 E. 6.1). 3.1 Die Beschwerdeführerin macht geltend, zur Beurteilung ihres strafrechtlichen Leumunds dürfe entgegen dem Abklärungsbericht der Stadtpolizei Zürich vom 31. Januar 2011 einzig auf den Strafregisterauszug und nicht auf Einträge im Zentralarchiv der Zürcher Polizeien abgestellt werden. Dieser enthalte lediglich Anzeigen, Verdachtsrapporte etc. und es könne ihnen gerade nicht entnommen werden, ob die aufgeführte Person den genannten Tatbestand auch tatsächlich erfüllt habe bzw. sich der rapportierende Sachverhalt auch tatsächlich so zugetragen habe. Indem die Vorinstanz dennoch auf diese Einträge abgestellt habe, verletzte sie ihren Anspruch auf rechtliches Gehör und verfalle in Willkür. 3.2 In formeller Hinsicht ist somit vorerst auf die Rüge der Verletzung des Anspruchs auf rechtliches Gehör sowie auf die der Willkür einzugehen. Der Anspruch auf rechtliches Gehör, wie ihn Lehre und Rechtspre­chung aus Artikel 29 Abs. 2 der Bundesverfassung der Schweizerischen Eidgenossenschaft vom 18. April 1999 (BV, SR 101) ableiten und wie er sich für das Bun­desverwaltungsverfahren aus den Art. 29 ff. VwVG ergibt, umfasst eine Anzahl verschiedener verfassungsrechtlicher Verfahrensgarantien (vgl. MICHELE ALBERTINI, Der verfassungsmässige Anspruch auf rechtliches Gehör im Verwaltungsverfahren des modernen Staates, Bern 2000, S.202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mit Hinweisen). Der Begriff des rechtlichen Gehörs erfasst überdies mehr als den blossen Anspruch einer Partei, "gehört zu werden". Weitergehende Teilgehalte des rechtlichen Gehörs sind Mitwirkungsrechte bei der Beweiserhebung, das Akteneinsichtsrecht, das Recht auf Vertretung und Verbeiständung sowie Anspruch auf Begründung von Verfügungen (vgl. Ulrich Häfelin/Georg Müller/Felix Uhlmann, Allgemeines Verwaltungsrecht, 6. vollständig überarbeitete Aufl., Zürich/St. Gallen 2010, Rz. 1686 ff.). Aufgrund der Akten ist jedoch eine Verletzung des Anspruchs auf rechtliches Gehörs zu verneinen, ergibt sich doch aus ihnen, dass der Beschwerdeführerin im vorinstanzlichen Verfahren sämtliche obgenannten Rechte eingeräumt wurden. In dieser Hinsicht wurde im Übrigen auch beschwerdeweise nichts geltend gemacht. Vorliegend ist die Rüge der Beschwerdeführerin, zur Beurteilung ihres strafrechtlichen Leumunds dürfe lediglich auf den Strafregisterauszug und nicht auf Einträge im Zentralarchiv der Zürcher Polizeien abgestellt werden, vielmehr dahingehend zu verstehen, dass die Vorinstanz den Sachverhalt unrichtig oder unvollständig ermittelt habe (Art. 49 Bst. b VwVG; vgl. Oliver Zibung / Elias Hofstetter, in: Waldmann / Weissenberger [Hrsg.], Praxiskommentar zum Bundesgesetzüber das Verwaltungsverfahren, Zürich/Basel/Genf 2009, Art. 49 N 34 ff.). Der Beschwerdeführerin ist denn auch insofern zuzustimmen, dass die Vorinstanz zur abschliessenden Beurteilung der Frage, ob sie der Prostitution nachgegangen sei und Drogen konsumiert habe, noch die entsprechenden Polizeirapporte, Strafbefehle und allfällige Strafurteile hätte hinzuziehen müssen. Weitere Ausführungen diesbezüglich erübrigen sich hingegen, da die Beschwerde - wie anschliessend zu zeigen sein wird - auch aus anderen Gründen gutzuheissen ist.</w:t>
      </w:r>
    </w:p>
    <w:p>
      <w:r>
        <w:rPr>
          <w:b/>
        </w:rPr>
        <w:t>E. 4.1</w:t>
      </w:r>
    </w:p>
    <w:p>
      <w:r>
        <w:t>Die in den Art. 27 bis Art. 31b BüG geregelten Tatbestände der er­leichterten Einbürgerung setzen nach Art. 26 Abs. 1 BüG in allgemeiner Weise voraus, dass die gesuchstellende Person in der Schweiz integriert ist (Bst. a), die schweizerische Rechtsordnung be­achtet (Bst. b) und die innere oder äussere Sicherheit der Schweiz nicht gefährdet (Bst. c). Die erleichterte Einbürgerung gestützt auf eine Ehe mit einer Schweizerin bzw. einem Schweizer gemäss Art. 27 BüG, um die es in vorliegender Streitsache geht, verlangt nach dessen Abs. 1 zusätzlich, dass die ausländische Person insgesamt fünf Jahre in der Schweiz gewohnt hat (Bst. a), seit einem Jahr hier wohnt (Bst. b) und seit drei Jahren in ehelicher Gemeinschaft mit der Schweizer Bürgerin bzw. dem Schweizer Bürger lebt (Bst. c).</w:t>
      </w:r>
    </w:p>
    <w:p>
      <w:r>
        <w:rPr>
          <w:b/>
        </w:rPr>
        <w:t>E. 4.2</w:t>
      </w:r>
    </w:p>
    <w:p>
      <w:r>
        <w:t>Der Begriff der ehelichen Gemeinschaft im Sinne von Art. 27 Abs. 1 Bst. c BüG bedeutet mehr als nur das formelle Bestehen einer Ehe nach Art. 159 Abs. 1 des Schweizerischen Zivilgesetzbuchs vom 10. Dezember 1907 (ZGB, SR 210). Verlangt wird vielmehr eine tatsächliche, stabile Lebensgemeinschaft, die getragen ist vom gegenseitigen Willen, die Ehe auch künftig aufrecht zu erhalten. Entsprechend wird vorausgesetzt, dass die eheliche Gemeinschaft während der ganzen Dauer des Einbürgerungsverfahrens gelebt wird und intakt ist.</w:t>
      </w:r>
    </w:p>
    <w:p>
      <w:r>
        <w:rPr>
          <w:b/>
        </w:rPr>
        <w:t>E. 4.3</w:t>
      </w:r>
    </w:p>
    <w:p>
      <w:r>
        <w:t>Zweifel am entsprechenden Willen der Ehegatten sind namentlich dann angebracht, wenn der ausländische Ehegatte der Prostitution nachgeht. Der Gesetzgeber ist bei der Schaffung der Möglichkeit der erleichterten Einbürgerung von einem Eheverständnis ausgegangen, wie es den eherechtlichen Bestimmungen des ZGB - insbesondere Art. 159 Abs. 2 und 3 ZGB - zugrunde liegt, d.h. einem solchen, bei welchem die Gründung einer Lebens- und Schicksalsgemeinschaft bzw. einer Familie bezweckt wird. Insbesondere schulden die Ehegatten einander Treue und Beistand (vgl. PETER TUOR/BERNHARD SCHNYDER/JÖRGSCHMID/ALEXANDRA RUMO-JUNGO, Das Schweizerische Zivilgesetzbuch, 12. Aufl., Zürich 2002, S. S. 275 f.). Die gewerbsmässige Ausübung der Prostitution begründet dabei die widerlegbare Vermutung, dass eine solche intakte und auf die Zukunft ausgerichtete Ehe nicht besteht (anstelle mehrerer vgl. Urteil des Bundesverwaltungsgerichts C-1171/2006 vom 3. März 2009 E. 3 bis 6). Trotz gewandelter Moral- und Sexualvorstellungen umfasst die eheliche Treue grundsätzlich immer noch die ungeteilte Geschlechtsgemeinschaft, d.h. eine auf einen Partner oder eine Partnerin ausgerichtete Gemeinschaft. Diese Auffassung lässt sich mit der Prostitution definitionsgemäss nicht vereinbaren. In einer solchen Konstellation obliegt es der gesuchstellenden Person, die durch die Prostitution begründete Tatsachenvermutung des Fehlens einer ehelichen Gemeinschaft im beschriebenen Sinne im Einzelfall umzustossen. Bei der Beurteilung der Frage, ob eine tatsächliche und stabile eheliche Gemeinschaft besteht, ist jeweils auch auf die weiteren Umstände des konkreten Einzelfalles abzustellen (vgl. Urteil des Bundesverwaltungsgerichts C-7487/2006 vom 28. Mai 2008 E. 3.2 mit Hinweisen). Dabei können etwa Aspekte der Lebensgestaltung, aber auch der Altersunterschied der Ehegatten oder die Art und Weise des Kennenlernens und der Heirat berücksichtigt werden.</w:t>
      </w:r>
    </w:p>
    <w:p>
      <w:r>
        <w:rPr>
          <w:b/>
        </w:rPr>
        <w:t>E. 5</w:t>
      </w:r>
    </w:p>
    <w:p>
      <w:r>
        <w:t>Es entspricht einem allgemeinen Rechtsgrundsatz, dass derjenige die Gefahr der Beweislosigkeit einer rechtserheblichen Tatsache trägt, der aus ihr Rechte ableitet (vgl. Krauskopf / Emmenegger, Praxiskommentar VwVG, a.a.O., Art. 12 N 207; vgl. Art. 8 ZGB). Das ist in Bezug auf die Voraussetzungen der erleichterten Einbürgerung nach Artikel 26 Absatz 1 und 27 Absatz 1 BüG der Gesuchsteller bzw. die Gesuchstellerin. Gelangt die Behörde nach Durchführung des Beweisverfahrens im Rahmen der freien Beweiswürdigung nicht zur Überzeugung, dass die Voraussetzungen der erleichterten Einbürgerung erfüllt sind, hat sie entsprechend dieser Beweislastregel so zu entscheiden, wie wenn deren Nichtvorliegen erwiesen wäre. Gegen­stand der behördlichen Überzeugung ist grundsätzlich nicht die mehr oder weniger hohe Wahrscheinlichkeit eines bestimmten Sachverhalts, sondern seine tatsächliche Verwirklichung. Bloss abstrakte oder theoretische Zweifel, die immer möglich sind, sind dabei nicht massgebend. Es muss sich um begründete Zweifel handeln, das heisst um solche, die sich nach den gesamten Umständen aufdrängen (vgl. Urteil des Bundesverwaltungsgerichts C-4610/2008 vom 4. November 2010 E. 3.3; vgl. Krausskopf / Emmenegger, a.a.O., Art. 12 N 213 ff.).</w:t>
      </w:r>
    </w:p>
    <w:p>
      <w:r>
        <w:rPr>
          <w:b/>
        </w:rPr>
        <w:t>E. 6</w:t>
      </w:r>
    </w:p>
    <w:p>
      <w:r>
        <w:t>Die Vorinstanz vertritt vorliegend die Auffassung, es könne nicht von einer intakten, auf die Zukunft gerichteten ehelichen Gemeinschaft ausgegangen werden. Zur Begründung führt sie aus, die Prostitution sowie auch die Drogenprobleme der Beschwerdeführerin hätten die eheliche Gemeinschaft offensichtlich stärker in Mitleidenschaft gezogen, als dies die Eheleute wahrhaben wollen. Berücksichtigt werden müsse auch die an Verwahrlosung grenzenden Verhältnisse in der ehelichen Wohnung, welche man anlässlich der Hausbesuche festgestellt habe.</w:t>
      </w:r>
    </w:p>
    <w:p>
      <w:r>
        <w:rPr>
          <w:b/>
        </w:rPr>
        <w:t>E. 6.1</w:t>
      </w:r>
    </w:p>
    <w:p>
      <w:r>
        <w:t>Bezüglich des Vorwurfs der Prostitution wird beschwerdeweise geltend gemacht, die Beschwerdeführerin sei nie gewerbsmässig als Prostituierte tätig gewesen. Es sei hingegen unbestritten, dass sie sich vor mehreren Jahren insbesondere in den Jahren 2005 und 2008 über befreundete, sich prostituierende Landsfrauen zeitweise im entsprechenden Milieu aufgehalten habe und diesbezüglich mehrmals polizeilich angehalten worden sei. Unbestritten sei auch, dass sie in diesem Zusammenhang einige wenige Male Drogen konsumiert habe. Sie verkehre aber nun seit längerem nicht mehr in diesen Kreisen und verfüge über einen einwandfreien straf- und zivilrechtlichen Leumund. Die polizeilichen Anhaltungen seien dem Ehemann überdies vollumfänglich bekannt. Entgegen der vorinstanzlichen Annahme würden hingegen keine unter rechtsstaatlichen Gesichtspunkten genüglichen Beweise vorliegen, dass die Beschwerdeführerin in den letzten Jahre ähnlich wie eine gewerbsmässig tätige Prostituierte ihren Körper oder auch ihre Liebe "mehr als im gesellschaftlich üblichen Umfang" bzw. mehr als durchschnittliche schweizerische Eheleute aus intakter Ehe mit anderen Personen als mit dem eigenen Ehegatten geteilt oder zugewendet habe.</w:t>
      </w:r>
    </w:p>
    <w:p>
      <w:r>
        <w:rPr>
          <w:b/>
        </w:rPr>
        <w:t>E. 6.1.1</w:t>
      </w:r>
    </w:p>
    <w:p>
      <w:r>
        <w:t>Den Akten ist zu entnehmen, dass die Beschwerdeführerin im Zentralarchiv der Zürcher Polizeien in den Jahren 2005 und 2008 zwei Einträge bezüglich Prostitution erwirkt hat (vgl. Erhebungsbericht vom 31. Januar 2011). Im Erhebungsbericht wurde des Weiteren - allerdings ohne genaue Angaben oder Belege - darauf hingewiesen, dass die Beschwerdeführerin ihre Dienste auf drei Websites angeboten habe und am 12. Oktober 2005 in einem Massagesalon angetroffen und verzeigt worden sei, da eine Aufenthaltsbewilligung gefehlt habe (vgl. dazu auch Polizeirapport der Stadtpolizei Zürich vom 18. Oktober 2005). Zudem soll sie sich im Jahr 2008 diverse Male auf dem Strassenstrich angeboten haben; auch dies allerdings unbelegt. Aus den kantonalen Akten ist hingegen - aufgrund entsprechend ausgestellter Aufenthaltsbewilligungen - klar ersichtlich, dass die Beschwerdeführerin als selbständige Masseuse in diversen Erotik-Betrieben tätig gewesen ist.</w:t>
      </w:r>
    </w:p>
    <w:p>
      <w:r>
        <w:rPr>
          <w:b/>
        </w:rPr>
        <w:t>E. 6.1.2</w:t>
      </w:r>
    </w:p>
    <w:p>
      <w:r>
        <w:t>In Anbetracht dieser Ausführungen sieht es das Bundesverwaltungsgericht als erwiesen an, dass die Beschwerdeführerin sexuelle Handlungen gegen Entgelt vorgenommen hat. Die Erklärung der Beschwerdeführerin, sie habe sich lediglich mit befreundeten Prostituierten zeitweise im entsprechenden Milieu bzw. an entsprechenden Orten aufgehalten, vermag hier nicht zu überzeugen. Die diversen polizeilichen Anhaltungen sprechen zusammen mit den weiteren im Rotlichtmilieu angesiedelten Tätigkeiten - welche in den kantonalen Akten eindeutig belegt sind - klar dagegen. Die Beschwerdeführerin selbst erklärte denn auch anlässlich der Erhebung des Berichtes vom 31. Januar 2011, sie habe die Prostitution aufgegeben, womit sie einräumte, sich in der Vergangenheit prostituiert zu haben.</w:t>
      </w:r>
    </w:p>
    <w:p>
      <w:r>
        <w:rPr>
          <w:b/>
        </w:rPr>
        <w:t>E. 6.2</w:t>
      </w:r>
    </w:p>
    <w:p>
      <w:r>
        <w:t>Des Weiteren macht die Vorinstanz geltend, es sei davon auszugehen, dass die Beschwerdeführerin verbotene Substanzen wie Haschisch geraucht und evtl. auch andere Betäubungsmittel wie Kokain konsumiert habe. Auch hätten die Hausbesuche und der in der Wohnung mehrmals wahrgenommene starke Rauchgeruch belegt, dass in der ehelichen Wohnung Betäubungsmittel konsumiert worden seien. Würden zudem auch die an Verwahrlosung grenzende Verhältnisse in der ehelichen Wohnung berücksichtigt werden, so könne insgesamt nicht von einer intakten, auf die Zukunft gerichteten ehelichen Gemeinschaft gesprochen werden.</w:t>
      </w:r>
    </w:p>
    <w:p>
      <w:r>
        <w:rPr>
          <w:b/>
        </w:rPr>
        <w:t>E. 6.3</w:t>
      </w:r>
    </w:p>
    <w:p>
      <w:r>
        <w:t>In casu reicht jedoch der Umstand, dass sich die Beschwerdeführerin prostituiert hat (noch) nicht aus, um Zweifel an der ehelichen Gemeinschaft hervorzurufen. Insbesondere gilt es zu beachten, dass der letzte Eintrag bezüglich Prostitution im Zentralarchiv der Zürcher Polizeien am 26. Januar 2008 vorgenommen wurde. Danach ist die Beschwerdeführerin in diesem Zusammenhang nicht mehr in Erscheinung getreten. Damit kann ihr Vorbringen, sie verkehre seit längerem nicht mehr in diesen Kreisen, nicht ausser Acht gelassen werden. Unterstützt wird diese Aussage durch die Tatsache, dass sie seit dem (...) bei (...) angestellt ist (vgl. Zwischenzeugnis [...]). Es versteht sich von selbst, dass eine solche Tätigkeit einen soliden Lebenswandel erfordert. Zudem ist den kantonalen Akten zu entnehmen, dass die Beschwerdeführerin seit Mai 2007 über bewilligte Arbeitsstellen ausserhalb des Rotlichtmilieus verfügt. Selbst der Umstand, dass die Beschwerdeführerin bereits verbotene Substanzen konsumiert hat, lässt vorliegend nicht den Schluss zu, die Lebensführung der Beschwerdeführerin sei nicht mit einer stabilen, auf die Zukunft gerichteten ehelichen Gemeinschaft vereinbar. Den Akten zufolge existieren im Zentralarchiv der Zürcher Polizeien im Zeitraum von 2000 bis 2010 vier Einträge wegen Konsums von verbotener Substanzen (Kokain und Haschisch). Die Beschwerdeführerin räumt selbst ein, diverse Male Drogen konsumiert zu haben, will nun aber keine Drogen mehr einnehmen (vgl. Beschwerde vom 10. August 2012). Dies bestätigt auch ihr Ehemann, der angibt, sie hätte einige wenige Male zum Spass Drogen ausprobiert (vgl. Bestätigungsschreiben vom 10. Mai 2012). Anlässlich der Erhebung des Berichts vom 31. Januar 2011 erklärte die Beschwerdeführerin zudem, sie sei in psychotherapeutischer Behandlung, nehme keine Drogen mehr und habe die Prostitution aufgegeben. Vor diesem Hintergrund erscheint es möglich, dass die Beschwerdeführerin dem Rotlichtmilieu seit einigen Jahren den Rücken zugekehrt hat. Hinzuweisen ist auch auf ihren ansonsten tadellosen Leumund (vgl. Auszug aus dem Betreibungsregister vom 23. April 2012 und Auszug aus dem Strafregister vom 20. April 2012). Abschliessend gilt es zu erwähnen, dass im Erhebungsbericht selbst darauf hingewiesen wurde, es könne darauf geschlossen werden, dass eine eheliche Gemeinschaft bestehe. Die Beschwerdeführerin sei an der gemeinsamen ehelichen Wohnadresse bekannt und sei dort auch angetroffen worden. Vorliegend bestehen zwar Indizien für eine nicht intakte Ehe, diese sind aber für sich alleine nicht ausreichend, um die Verweigerung der erleichterten Einbürgerung zu rechtfertigen.</w:t>
      </w:r>
    </w:p>
    <w:p>
      <w:r>
        <w:rPr>
          <w:b/>
        </w:rPr>
        <w:t>E. 6.4</w:t>
      </w:r>
    </w:p>
    <w:p>
      <w:r>
        <w:t>In casu sind weitere Abklärungen unerlässlich, um den entscheidserheblichen Sachverhalt vervollständigen und einen allfällig negativen Entscheid begründen zu können. Insbesondere fehlen in den Akten wesentliche Sachverhaltselemente, um das Vorliegen einer nicht intakten und nicht auf die Zukunft gerichteten ehelichen Gemeinschaft abschliessend und im Sinne einer Gesamtbetrachtung beurteilen zu können (vgl. dazu Urteil des Bundesverwaltungsgerichts C-5145/2007 vom 15. April 2009 E. 4.4). In concretu fehlen Angaben betreffend bisherige und künftige Lebensgestaltung- und planung des Ehepaares (insbesondere auch Angaben zu einem allfälligen Kinderwunsch). Auch ist unabdingbar die Art und Weise sowie die zeitliche Abfolge des Kennenlernens und der Heirat genauer abzuklären, ist doch gemäss den kantonalen Akten die Beschwerdeführerin ohne Visum in die Schweiz eingereist. Hinzuweisen ist auch auf den Umstand, dass sich der Ehemann der Beschwerdeführerin - ausser in einem kurzen Bestätigungsschreiben vom 10. Mai 2012 - zu keiner Zeit zur Ehe und deren Zustand geäussert hat. Von der Notwendigkeit weiterer Abklärungen können auch die zu den Akten gereichten Referenzschreiben nicht entbinden. Diese zeichnen zwar einerseits ein durchwegs positives Bild der Beschwerdeführerin und ihrer Ehe mit dem Schweizer Bürger auf, stellen hingegen andererseits nur Feststellungen über das äussere Erscheinungsbild der Ehe dar (vgl. Urteil des Bundesverwaltungsgerichts C-7410/2008 vom 25. Januar 2011 E. 9.3.1 mit weiteren Hinweisen).</w:t>
      </w:r>
    </w:p>
    <w:p>
      <w:r>
        <w:rPr>
          <w:b/>
        </w:rPr>
        <w:t>E. 7</w:t>
      </w:r>
    </w:p>
    <w:p>
      <w:r>
        <w:t>Somit ergibt sich, dass die von der Vorinstanz vorgenommenen Abklärungen nicht ausreichend sind, um davon ausgehen zu können, die Ehe der Beschwerdeführerin sei weder intakt noch auf die Zukunft gerichtet. Die Richtigkeit einer solchen Annahme ist aber auch nicht auszuschliessen. Aus diesem Grunde sind zusätzliche Abklärungen im Sinne der obigen Erwägungen zu tätigen. Die angefochtene Verfügung ist daher wegen unvollständiger Feststellung des rechtserheblichen Sachverhalts (vgl. Art. 49 Bst. b VwVG) aufzuheben und zu neuem Entscheid an die Vorinstanz zurückzuweisen.</w:t>
      </w:r>
    </w:p>
    <w:p>
      <w:r>
        <w:rPr>
          <w:b/>
        </w:rPr>
        <w:t>E. 8</w:t>
      </w:r>
    </w:p>
    <w:p>
      <w:r>
        <w:t>Bei diesem Ausgang des Verfahrens sind keine Kosten aufzuerlegen (vgl. Art. 63 Abs. 1 und 2 VwVG) und der geleistete Kostenvorschuss ist zurückzuerstatten. Der Beschwerdeführerin ist zu Lasten der Vorinstanz eine Parteientschädigung auszurichten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