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C-4184/2008 vom 8. Juli 2009</w:t>
      </w:r>
    </w:p>
    <w:p>
      <w:r>
        <w:t>Bundesverwaltungsgericht, 2009-07-08, FR</w:t>
      </w:r>
    </w:p>
    <w:p>
      <w:r>
        <w:rPr>
          <w:b/>
        </w:rPr>
        <w:t xml:space="preserve">Quelle: </w:t>
      </w:r>
      <w:r>
        <w:t>https://mcp.opencaselaw.ch/entscheid/bvger_C-4184_2008</w:t>
      </w:r>
    </w:p>
    <w:p>
      <w:r>
        <w:t>FR: TAF C-4184/2008 du 8 juillet 2009</w:t>
      </w:r>
    </w:p>
    <w:p>
      <w:r>
        <w:t>IT: TAF C-4184/2008 del 8 luglio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3.1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3.2</w:t>
      </w:r>
    </w:p>
    <w:p>
      <w:r>
        <w:t>La recourante est particulièrement touchée par la décision attaquée et a un intérêt digne de protection à ce qu'elle soit annulée ou modifiée (art. 59 LPGA). Elle a, partant, qualité pour recourir.</w:t>
      </w:r>
    </w:p>
    <w:p>
      <w:r>
        <w:rPr>
          <w:b/>
        </w:rPr>
        <w:t>E. 3.3</w:t>
      </w:r>
    </w:p>
    <w:p>
      <w:r>
        <w:t>Dans la mesure où le recours a été introduit dans le délai (cf. pces 2 et 11 jointe au recours) et la forme prescrits (art. 60 LPGA et 52 PA), il est entré en matière sur le fond du recours.</w:t>
      </w:r>
    </w:p>
    <w:p>
      <w:r>
        <w:rPr>
          <w:b/>
        </w:rPr>
        <w:t>E. 4</w:t>
      </w:r>
    </w:p>
    <w:p>
      <w:r>
        <w:t>S'agissant du droit applicable, il convient de préciser qu'à partir du 1er janvier 2008 (RO 2007 5129; FF 2005 4215) la présente procédure est régie par la teneur de la LAI modifiée par la novelle du 6 octobre 2006 (5ème révision), eu égard au principe selon lequel les règles applicables sont celles en vigueur au moment où les faits juridiquement déterminants se sont produits (ATF 130 V 445 consid. 1.2). Par conséquent, le droit à la rente s'examine pour la période s'étendant jusqu'au 31 décembre 2007 à la lumière des anciennes normes et, à partir de ce moment-là, des nouvelles.</w:t>
      </w:r>
    </w:p>
    <w:p>
      <w:r>
        <w:rPr>
          <w:b/>
        </w:rPr>
        <w:t>E. 5</w:t>
      </w:r>
    </w:p>
    <w:p>
      <w:r>
        <w:t>La recourante a présenté sa demande de rente le 24 novembre 2006.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24 novembre 2005 (12 mois avant le dépôt de la demande) ou si le droit à une rente était né entre cette date et le 14 mai 2008, date de la décision attaquée marquant la limite dans le temps du pouvoir d'examen de l'autorité de recours (ATF 130 V 445 consid. 1.2 et 1.2.1).</w:t>
      </w:r>
    </w:p>
    <w:p>
      <w:r>
        <w:rPr>
          <w:b/>
        </w:rPr>
        <w:t>E. 6.1</w:t>
      </w:r>
    </w:p>
    <w:p>
      <w:r>
        <w:t>Tout requérant doit remplir cumulativement les conditions suivantes pour avoir droit à une rente de l'assurance-invalidité suisse: être invalide au sens de la LPGA/LAI et avoir versé des cotisations à l'AVS/AI durant au moins une année, respectivement trois années entière à compter du 1er janvier 2008 (art. 36 al. 1 LAI).</w:t>
      </w:r>
    </w:p>
    <w:p>
      <w:r>
        <w:rPr>
          <w:b/>
        </w:rPr>
        <w:t>E. 6.2</w:t>
      </w:r>
    </w:p>
    <w:p>
      <w:r>
        <w:t>En l'occurrence, la recourante a versé des cotisations à l'AVS/AI pendant plus de 18 années au total (cf. pce 3 p. 5)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Un assuré a droit à un quart de rente s'il est invalide à 40% au moins, à une demi-rente s'il est invalide à 50%, à trois-quarts de rente s'il est invalide à 60% et à une rente entière s'il est invalide à 70% au moins (art. 28 al. 1 LAI [art. 28 al. 2 LAI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de l'UE et y réside.</w:t>
      </w:r>
    </w:p>
    <w:p>
      <w:r>
        <w:rPr>
          <w:b/>
        </w:rPr>
        <w:t>E. 7.3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8</w:t>
      </w:r>
    </w:p>
    <w:p>
      <w:r>
        <w:t>La recourante a travaillé en Suisse à compter du 1er juillet 1987 auprès d'un garage en qualité d'aide comptable frontalière d'abord et dans le service du personnel ensuite. Elle a cessé son activité le 4 novembre 2005 pour des raisons de santé.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9</w:t>
      </w:r>
    </w:p>
    <w:p>
      <w:r>
        <w:t>En l'espèce, il est établi que la recourante souffre essentiellement de fibromyalgie, de maigreur, d'un syndrome fémoropatellaire bilatéral sur chondromalacie et d'un trouble anxio-dépressif.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10</w:t>
      </w:r>
    </w:p>
    <w:p>
      <w:r>
        <w:t>L'art. 69 al. 2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AI peuvent convoquer les assurés à un entretien, la date de celui-ci devant leur être communiquée dans un délai approprié (art. 69 al. 3 RAI dans sa nouvelle teneur en vigueur à compter du 1er janvier 2008).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11</w:t>
      </w:r>
    </w:p>
    <w:p>
      <w:r>
        <w:t>Dans l'arrêt ATF 130 V 352, le Tribunal fédéral des assurances (TFA, aujourd'hui Tribunal fédéral) a précisé la jurisprudence prévoyant que les troubles somatoformes douloureux peuvent, dans certaines circonstances, conduire à une incapacité de travail (ATF 120 V 119 consid. 2c/cc; RAMA 1996 no U 256 p. 217 ss consid. 5 et 6). Le TFA a, en outre, considéré que la fibromyalgie peut être assimilée à un trouble somatoforme, plus particulièrement au syndrome douloureux somatoforme persistant (ATF 132 V 65 consid. 4.3;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SCHAFFAUSER/SCHLAURI [éd.], Schmerz und Arbeitsunfähigkeit, St-Gall 2003, p. 64 n. 93).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précité, consid. 2.2.2 ).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 ) - plus raisonnablement être exigée de l'assuré, ou qu'elle serait même insupportable pour la société (ATF 102 V 165; VSI 2001 p. 224 s. consid. 2b et réf. cit.; ATF 130 V 352 précité consid. 2.2.3 et les arrêts cités; cf. aussi ATF 127 V 298 consid. 4c i. f.).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précité, consid. 2.2.3 i. f.;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2.3.2 ci-dessus - lui permettent de surmonter ses douleurs. Il s'agit pour lui d'établir de manière objective si, compte tenu de sa constitution psychique, l'assuré peut exercer une activité sur le marché du travail, malgré les douleurs qu'il ressent (cf. ATF 130 V 352 précité consid. 2.2.4).</w:t>
      </w:r>
    </w:p>
    <w:p>
      <w:r>
        <w:rPr>
          <w:b/>
        </w:rPr>
        <w:t>E. 12.1</w:t>
      </w:r>
    </w:p>
    <w:p>
      <w:r>
        <w:t>En l'espèce, l'OAIE s'est fondé sur le rapport d'expertise du 29 février 2008 du CEMed et sur les prises de position de son service médical et a ainsi retenu une pleine capacité de travail de la recourante. L'Office a considéré que les atteintes diagnostiquées, en particulier la fibromyalgie, n'étaient pas invalidantes et a conclu au rejet du recours et à la confirmation de la décision attaquée. La recourante a argué avoir été reconnue invalide à 100% par la sécurité sociale française. Elle a en outre estimé que son dossier n'avait pas été instruit à satisfaction, que l'importance de l'atteinte psychique a été mésestimée, que les troubles neurologiques n'ont pas été pris en compte et que les répercussions concrètes des atteintes à sa santé sur sa capacité de travail ont été sous-estimées. La recourante a ainsi expressément conclu à l'annulation de la décision entreprise et à la constatation de son droit à des prestations de l'assurance-invalidité, voire, subsidiairement, au renvoi de la cause à l'administration pour instruction complémentaire et nouvelle décision.</w:t>
      </w:r>
    </w:p>
    <w:p>
      <w:r>
        <w:rPr>
          <w:b/>
        </w:rPr>
        <w:t>E. 12.2</w:t>
      </w:r>
    </w:p>
    <w:p>
      <w:r>
        <w:t>A titre liminaire, il sied de rappeler que le degré d'invalidité d'un assuré qui prétend une rente de l'assurance-invalidité suisse est déterminé exclusivement d'après le droit suisse (cf. supra 2). Contrairement à ce que soutient implicitement la recourante, la décision de la sécurité sociale française ne lie donc pas les autorités suisses. Quand bien même le diagnostic de troubles somatoformes douloureux, respectivement de fibromyalgie, est d'abord le fait d'un médecin rhumatologue, le concours d'un médecin spécialiste en psychiatrie pour apprécier l'atteinte et ses effets est essentiel, du fait que les facteurs psychosomatiques ont une influence décisive sur le développement de cette atteinte à la santé (ATF 130 V 353 consid. 2.2.2 et 399 consid. 5.3.2; ATF 132 V 72 consid. 4.3). En principe, l'administration, ou le juge en cas de recours, ne s'écarte pas sans motifs des conclusions d'une expertise (ATF 125 V 352 consid. 3b/aa). L'autorité de céans constate que, dans notre occurrence, il existe une contradiction entre le rapport d'examen médical du 6 mai 2006 de la Dresse N._______, laquelle diagnostique un état dépressif et conclut à une incapacité de travail entière de l'assurée, et le rapport d'expertise pluridisciplinaire du 29 février 2008 des Drs I._______ et F.______ du CEMed, qui estiment que la fibromyalgie et le trouble dépressivo-anxieux dont souffre la recourante ne seraient pas invalidants. Il conviendrait certes de donner préséance au rapport du CEMed, puisqu'il est postérieur et émane notamment d'un spécialiste en psychiatrie. L'autorité de céans relève toutefois que, sur le plan psychiatrique, les conclusions des experts du CEMed sont assorties de réserves expresses ("n'atteint probablement pas une sévérité suffisante" et "le traitement en cours paraît donc adéquat"). Il sied de noter, ensuite, que les appréciations médicales apparaissent pêle-mêle dans ledit rapport, sans que l'on puisse dire si elles proviennent du rhumatologue ou du psychiatre. Enfin, l'évaluation strictement psychiatrique du rapport d'expertise est par trop succincte, puisqu'elle se résume à une brève anamnèse (pce 33 p. 10 i. m.), à une analyse (p. 18 i. m.) et à une appréciation médicale d'une demi-page chacune (p. 23 i. f. et 24 i. i.), à savoir en tout et pour tout une page et demie sur 29. La description du contexte médical et l'appréciation de la situation clinique de la recourante ne sont donc pas suffisamment claires sur le plan psychique et les conclusions de l'expert psychiatre ne sont pas motivées de manière satisfaisante (cf. ATF 125 V 352 consid. 3a). Il convient de relever, au surplus, que les Drs J._______, psychiatre, et D.______, généraliste, constatent tous deux, dans leurs certificats respectivement des 6 et 8 juin 2008 (pce 9 et 10 jointes au recours), une dégradation de l'état de santé de la recourante sur le plan de l'humeur. Ces certificats médicaux sont certes postérieurs à la décision attaquée, mais se réfèrent très vraisemblablement à une période également antérieure au 14 mai 2008. L'existence d'une comorbidité psychiatrique, notamment, ne peut donc être exclue sur la base du rapport du CEMed avec une vraisemblance suffisante, eu égard à ce qui précède (cf. ATF 130 V 352 consid. 2.2.3). Or, conformément au principe inquisitoire régissant la procédure dans le domaine des assurances sociales, l'administration ou le juge en cas de recours est tenu d'ordonner une instruction complémentaire lorsque certains aspects médicaux doivent être clarifiés (ATF 117 V 283 consid. 4a).</w:t>
      </w:r>
    </w:p>
    <w:p>
      <w:r>
        <w:rPr>
          <w:b/>
        </w:rPr>
        <w:t>E. 12.3</w:t>
      </w:r>
    </w:p>
    <w:p>
      <w:r>
        <w:t>Le recours doit, partant, être partiellement admis, en ce sens que la décision attaquée doit être annulée et la cause renvoyée à l'OAIE, afin que celui-ci prenne une nouvelle décision après avoir procédé à une expertise psychiatrique (détaillée), neurologique et rhumatologique, ainsi qu'à tout autre examen nécessaire (art. 61 PA).</w:t>
      </w:r>
    </w:p>
    <w:p>
      <w:r>
        <w:rPr>
          <w:b/>
        </w:rPr>
        <w:t>E. 13</w:t>
      </w:r>
    </w:p>
    <w:p>
      <w:r>
        <w:t>Après le dépôt du recours, la partie recourante a demandé à s'exprimer oralement devant le tribunal et, le cas échéant, à faire entendre quelques témoins. Au vu de l'issue de la présente procédure, aux termes de laquelle il s'avère nécessaire de procéder à un complément d'instruction du point de vue médical, les moyens de preuves proposés par la recourante se révèlent inutiles. L'offre de preuves doit donc être rejetée. Il en va de même de la demande d'interrogatoire formulée par la recourante.</w:t>
      </w:r>
    </w:p>
    <w:p>
      <w:r>
        <w:rPr>
          <w:b/>
        </w:rPr>
        <w:t>E. 14.1</w:t>
      </w:r>
    </w:p>
    <w:p>
      <w:r>
        <w:t>Selon la jurisprudence, la partie qui a formé recours est réputée avoir obtenu gain de cause lorsque la cause est renvoyée à l'administration pour instruction complémentaire et nouvelle décision (ATF 132 V 215 consid. 6.2). Aucun frais de procédure n'est toutefois mis à la charge des autorités inférieures, ni des autorités fédérales recourantes et déboutées (art. 63 al. 2 i. i. PA, applicable par renvoi de l'art. 37 LTAF). Il n'est donc pas perçu de frais de procédure.</w:t>
      </w:r>
    </w:p>
    <w:p>
      <w:r>
        <w:rPr>
          <w:b/>
        </w:rPr>
        <w:t>E. 14.2</w:t>
      </w:r>
    </w:p>
    <w:p>
      <w:r>
        <w:t>Les art. 64 PA et 7 du règlement du 21 février 2008 concernant les frais, dépens et indemnités fixés par le Tribunal administratif fédéral (FITAF; RS 173.320.2) - applicable en l'espèce en vertu de l'art. 53 al. 2 i. f. LTAF -,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de la recourante en instance de recours a consisté essentiellement dans la rédaction d'un recours de 15 pages, d'une réplique de 2 et 4 pages, ainsi que d'une écriture ampliative de 3 pages. Il se justifie, eu égard à ce qui précède, de lui allouer une indemnité à titre de dépens de Fr. 2'400.- à charge de l'OAIE.</w:t>
      </w:r>
    </w:p>
    <w:p>
      <w:r>
        <w:rPr>
          <w:b/>
        </w:rPr>
        <w:t>E. 14.3</w:t>
      </w:r>
    </w:p>
    <w:p>
      <w:r>
        <w:t>L'assistance judiciaire totale accordée à la recourante par décision incidente du 6 août 2008 n'a dès lors plus d'objet s'agissant de l'exonération des frais de procédure ni du remboursement de ses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