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C-4178/2008 vom 8. Februar 2010</w:t>
      </w:r>
    </w:p>
    <w:p>
      <w:r>
        <w:t>Bundesverwaltungsgericht, 2010-02-08, DE</w:t>
      </w:r>
    </w:p>
    <w:p>
      <w:r>
        <w:rPr>
          <w:b/>
        </w:rPr>
        <w:t xml:space="preserve">Quelle: </w:t>
      </w:r>
      <w:r>
        <w:t>https://mcp.opencaselaw.ch/entscheid/bvger_C-4178_2008</w:t>
      </w:r>
    </w:p>
    <w:p>
      <w:r>
        <w:t>FR: TAF C-4178/2008 du 8 février 2010</w:t>
      </w:r>
    </w:p>
    <w:p>
      <w:r>
        <w:t>IT: TAF C-4178/2008 del 8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den Anhängen I und II zur Verordnung (EG) Nr. 539/2001 des Rates vom 15. März 2001 (Abl. L 81 vom 21.03.2001, S. 1-7) sind diejenigen Staaten aufgelistet, deren Staatsangehörige beim Überschreiten der Aussengrenzen der Schengen-Mitgliedstaaten im Besitz eines Visums sein müssen (Anhang I) bzw. diejenigen, die keines Visums bedürfen (Anhang II). Demzufolge unterliegen die Gesuchsteller als Staatsangehörige des Kosovo der Visumspflicht.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Am 17. Februar 2008 erklärte das kosovarische Parlament die Unabhängigkeit des Landes, die am 26. Februar 2008 von der Schweiz und mittlerweile von 58 Staaten völkerrechtlich anerkannt wurde. Die Sicherheitslage im Kosovo konnte zwar im Verlaufe der letzten Jahre weitgehend stabilisiert werden; auch ist der Wiederaufbau von Administration und Infrastruktur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 sie betrug gemäss den letzten offiziellen Zahlen im Jahr 2007 immer noch 43,6% - bleibt hartnäckig hoch. So sind mehr als die Hälfte der Erwerbsfähigen ohne oder zumindest ohne regelmässiges Einkommen. Der Armutsanteil der Bevölkerung im Kosovo liegt bei 45%; 15% der Staatsbürger leben sogar in extremer Armut (vgl. &lt;www.worldbank.org&gt;Countries&gt;Kosovo&gt;Overview&gt;Country Brief, November 2009, besucht im Februar 2010).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der Gesuchsteller, was sich auch in der schweizerischen Asylstatistik widerspiegelt. So stammten im Jahr 2009 4,3% der Asylsuchenden aus dem Kosovo, der damit damit in der Statistik der Asylgesuche nach Nationen - mit insgesamt 694 Gesuchen - an siebter Stelle stand (Quelle: Bundesamt für Migration, www.bfm.admin. ch&gt;Themen&gt;Statistiken&gt; Asylstatistik&gt;Jahresstatistiken&gt;kommentierteAsylstatistik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Immerhin stellten im 3. Quartal 2009 noch 179 Personen aus dem Kosovo hier ein Asylgesuch; im 4. Quartal sank diese Zahl auf 151 (Quelle: Bundesamt für Migration, a.a.O. &gt;Themen&gt;Statistiken&gt;Asylstatistik &gt;Monatsstatistiken&gt;Asylstatistiken 2009&gt;Asylstatistik 3. und 4. Quartal 2009).</w:t>
      </w:r>
    </w:p>
    <w:p>
      <w:r>
        <w:rPr>
          <w:b/>
        </w:rPr>
        <w:t>E. 9</w:t>
      </w:r>
    </w:p>
    <w:p>
      <w:r>
        <w:t>Allein aufgrund der allgemeinen Lage im Herkunftsland darf jedoch nicht auf eine nicht hinreichend gesicherte Wiederausreise geschlossen werden. Die soeben dargelegten Umstände entbinden daher nicht von einer einzelfallbezogenen Beurteilung, wobei namentlich berufliche, gesellschaftliche oder familiäre Verpflichtungen die Prognose einer anstandslosen Wiederausreise begünstigen.</w:t>
      </w:r>
    </w:p>
    <w:p>
      <w:r>
        <w:rPr>
          <w:b/>
        </w:rPr>
        <w:t>E. 10</w:t>
      </w:r>
    </w:p>
    <w:p>
      <w:r>
        <w:t>Die Gesuchsteller, A._______ und B._______, sind beide 1983 geboren und damit relativ jung. Dass sie gemeinsam mit ihrer vierjährigen Tochter in die Schweiz reisen wollen, würde bedeuten, dass in dieser Zeit keine oder zumindest keine wichtigen familiären Bindungen im Heimatland mehr bestünden. Demgegenüber würden sie in der Schweiz ein soziales Netz - das zumindest aus den drei Brüdern des Gesuchstellers und ihren Familien besteht - vorfinden. In Anbetracht dieser Umstände und der vorerwähnten Verhältnisse im Kosovo ist daher das Risiko fehlender Rückkehrbereitschaft nicht von der Hand zu weisen.</w:t>
      </w:r>
    </w:p>
    <w:p>
      <w:r>
        <w:rPr>
          <w:b/>
        </w:rPr>
        <w:t>E. 10.1</w:t>
      </w:r>
    </w:p>
    <w:p>
      <w:r>
        <w:t>In ihrer Beschwerde haben die Gastgeber lediglich behauptet, ihre Gäste hätten kein Interesse daran, in der Schweiz zu bleiben. Eine Konkretisierung dieser Behauptung erfolgt jedoch nicht, insbesondere werden keine Gründe genannt, warum die Gesuchsteller nach Abschluss ihres Besuchsaufenthalt wieder in ihr Heimatland sollten zurückkehren wollen. Auf deren berufliche Verpflichtungen deuten lediglich die Abklärungen des Gastgeberkantons hin: Dort wird angegeben, dass die Gesuchsteller im Kosovo einen Lebensmittelladen und eine Fensterfabrik betreiben (vgl. Schreiben des Migrationsdienst des Kantons Bern vom 29. April 2008 und das auf derselben Seite befindliche Antwortschreiben der Fremdenkontrolle der Gemeinde Langnau vom 6. Mai 2008).</w:t>
      </w:r>
    </w:p>
    <w:p>
      <w:r>
        <w:rPr>
          <w:b/>
        </w:rPr>
        <w:t>E. 10.2</w:t>
      </w:r>
    </w:p>
    <w:p>
      <w:r>
        <w:t>Die berufliche Situation der Gesuchsteller ist dennoch unklar. In ihren schriftlichen Visumsgesuchen haben sich A._______ als Manager der Firma N.T.P. "METI-AZ", seine Ehefrau B._______ als Arbeiterin (work) derselben Firma bezeichnet. Die vorinstanzlichen Akten enthalten diesbezüglich weitere Schriftstücke in albanischer Sprache mitsamt deutscher Übersetzung. Es handelt sich dabei um Bankauszüge für die besagte Firma (allerdings bezeichnet als N.P.T. METI-AZ) sowie um eine Urlaubs- und eine Arbeitsbescheinigung für die angeblich als Hauptköchin angestellte B._______. Die beiden letztgenannten Dokumente sind von A._______ als Arbeitgeber unterzeichnet. Aus all den Unterlagen geht jedoch weder der Tätigkeitsbereich noch der grössenmässige Umfang der Firma hervor. Ebensowenig gibt es - abgesehen von dem der Ehefrau bescheinigten monatlichen Einkommen in Höhe von 250 Euro - Anhaltspunkte für das gesamte Familieneinkommen. Wie die derzeitigen und künftigen wirtschaftlichen Perspektiven der Gesuchsteller aussehen, kann daher nicht beurteilt werden. Dass die Gastgeber gegenüber dem Kanton abweichende - und in ihrer Beschwerde überhaupt keine - Angaben zu deren Berufstätigkeit gemacht haben, führt daher zu erheblichen Zweifeln am Besuchszweck und damit auch an der fristgerechten Wiederausreise der Gesuchsteller.</w:t>
      </w:r>
    </w:p>
    <w:p>
      <w:r>
        <w:rPr>
          <w:b/>
        </w:rPr>
        <w:t>E. 10.3</w:t>
      </w:r>
    </w:p>
    <w:p>
      <w:r>
        <w:t>Gegenüber der ablehnenden vorinstanzlichen Verfügung haben die Beschwerdeführer eingewendet, einige ihrer Verwandten hätten sofort eine Einreisebewilligung erhalten, obwohl deren Situation genau gleich wie die der Gesuchsteller gewesen sei. Dieser - unter Vorlage einer Namensliste, jedoch ohne genauere Erläuterungen - erfolgte Hinweis auf die "gleichen Verhältnisse" anderer Besucher aus dem Kosovo ist jedoch viel zu pauschal und ermöglicht in keinster Weise eine Überprüfung, inwieweit sich die Lebensumstände wirklich ähneln. Vergleiche mit den Gesuchstellern, die immerhin als ganze Familie einreisen wollen, können auch deshalb nicht gezogen werden, als sich deren heimatliche Lebensumstände gar nicht abschliessend haben klären lassen.</w:t>
      </w:r>
    </w:p>
    <w:p>
      <w:r>
        <w:rPr>
          <w:b/>
        </w:rPr>
        <w:t>E. 11</w:t>
      </w:r>
    </w:p>
    <w:p>
      <w:r>
        <w:t>Unter den geschilderten Umständen durfte die Vorinstanz somit zu Recht davon ausgehen, dass für eine gesicherte Wiederausreise der Gesuchsteller keine hinreichende Gewähr bestehe. Daran ändert auch nichts, dass die Beschwerdeführer diese zugesichert haben, ist doch eine solche Garantie weder faktisch noch rechtlich durchsetzbar. Gastgeber können zwar für gewisse finanzielle Risiken im Zusammenhang mit einem Besuchsaufenthalt garantieren, nicht jedoch für ein bestimmtes Verhalten ihrer Gäste (vgl. anstelle vieler: Urteil des Bundesverwaltungsgerichts C-6950/2007 vom 7. November 2008 E. 8). Die Erteilung der gewünschten Einreisebewilligungen war aus diesen Gründen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den Beschwerdeführern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