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C-4177/2008 vom 21. Juli 2009</w:t>
      </w:r>
    </w:p>
    <w:p>
      <w:r>
        <w:t>Bundesverwaltungsgericht, 2009-07-21, FR</w:t>
      </w:r>
    </w:p>
    <w:p>
      <w:r>
        <w:rPr>
          <w:b/>
        </w:rPr>
        <w:t xml:space="preserve">Quelle: </w:t>
      </w:r>
      <w:r>
        <w:t>https://mcp.opencaselaw.ch/entscheid/bvger_C-4177_2008</w:t>
      </w:r>
    </w:p>
    <w:p>
      <w:r>
        <w:t>FR: TAF C-4177/2008 du 21 juillet 2009</w:t>
      </w:r>
    </w:p>
    <w:p>
      <w:r>
        <w:t>IT: TAF C-4177/2008 del 21 luglio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 le RSEE (cf. 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ATAF 2008/1 consid. 2). Tel est le cas en l'occurrence.</w:t>
      </w:r>
    </w:p>
    <w:p>
      <w:r>
        <w:rPr>
          <w:b/>
        </w:rPr>
        <w:t>E. 1.3</w:t>
      </w:r>
    </w:p>
    <w:p>
      <w:r>
        <w:t>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X._______ a fait l'objet, le 20 novembre 2007 puis, sur recours, le 10 mars 2008, de décisions de refus d'autorisation de séjour et de renvoi de la part du SPOP et du Tribunal cantonal vaudois. Ces décisions ont acquis force de chose jugée et sont dès lors exécutoires. Le recourant, à défaut d'être encore titulaire d'un titre de séjour, n'est donc plus autorisé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le recourant aurait engagé, à la suite des décisions négatives rendues par les autorités vaudoises, une nouvelle procédure d'autorisation dans un canton tiers qui se serait déclaré disposé à régler ses conditions de séjour sur son propre territoire (cf. JAAC 62.52 consid. 9). A ce titre, il sera simplement observé que le permis de séjour qui avait été délivrée au recourant par les autorités soleuroises (lorsque celui-ci vivait en compagnie de son épouse à Derendingen) est arrivé à échéance le 3 février 2007. En outre, bien qu'il en ait émis le v?u à l'appui de son recours, l'intéressé n'a pas sollicité auprès des autorités vaudoises l'octroi d'une dérogation aux conditions d'admission pour tenir compte des cas individuels d'une extrême gravité. Au demeurant, on ne voit guère les chances de succès d'une telle procédure, le Tribunal cantonal vaudois ayant expressément relevé, dans son jugement du 10 mars 2008, que la situation de X._______ ne conduisait pas à lui reconnaître un cas de rigueur (consid. 3c).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5.1</w:t>
      </w:r>
    </w:p>
    <w:p>
      <w:r>
        <w:t>La décision de renvoi de Suisse étant confirmée, il convient encore d'examiner s'il se justifie, en application de l'art. 14a al. 1 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5.2</w:t>
      </w:r>
    </w:p>
    <w:p>
      <w:r>
        <w:t>En l'espèce, le recourant est au bénéfice d'un passeport yougoslave valable jusqu'en avril 2016. De plus, il est à même de se procurer un nouveau passeport auprès des autorités de la République du Kosovo (qui en délivrent depuis le 30 juillet 2008), étant rappelé qu'il lui appartient d'accomplir les démarches nécessaires en vue de la délivrance d'un document de voyage lui permettant de quitter la Suisse. Le TAF considère ainsi que l'exécution du renvoi ne se heurte pas à des obstacles insurmontables d'ordre technique et se révèle possible (art. 14a al. 2 LSEE).</w:t>
      </w:r>
    </w:p>
    <w:p>
      <w:r>
        <w:rPr>
          <w:b/>
        </w:rPr>
        <w:t>E. 5.3</w:t>
      </w:r>
    </w:p>
    <w:p>
      <w:r>
        <w:t>X._______ n'a pas non plus allégué qu'il existait pour lui, en cas de renvoi dans son pays, un véritable risque concret et sérieux - au-delà de tout doute raisonnable - d'être victime de tortures, ou de traitements inhumains ou dégradants, au sens de l'art. 3 de la Convention du 4 novembre 1950 de sauvegarde des droits de l'homme et des libertés fondamentales (CEDH, RS 0.101; JACQUES VELU / RUSEN ERGEC, La Convention européenne des droits de l'homme, Bruxelles 1990, p. 203ss; ARTHUR HAEFLIGER, Die Menschenrechtskonvention und die Schweiz, Berne 1993, p. 64ss; cf. sur ce point la jurisprudence de la Commission européenne des droits de l'homme dont des extraits ont été publiés dans la JAAC 67.138 consid. 1, 64.156 consid. 6.2 à 6.4, 62.89 consid. 1; voir également l'ATF 121 II 296 consid. 5a/aa, ainsi que KAELIN, op. cit., p. 245 et réf. citées). Il appert au demeurant que la situation générale au Kosovo a connu une stabilisation depuis la proclamation de l'indépendance. Au surplus, en date du 6 mars 2009, le Conseil fédéral a déclaré le Kosovo "état sûr", rang auquel peut être élevé un Etat assurant le respect des droits de l'homme, ainsi que l'application des conventions internationales conclues dans les domaines des droits de l'homme et des réfugiés. Il ressort également de certaines pièces du dossier que le recourant vit désormais avec une nouvelle amie, qui partage sans doute son quotidien. Toutefois, sous réserve de circonstances particulières telles que le mariage sérieusement voulu et imminent, les fiançailles ou le concubinage ne permettent pas d'invoquer le respect de la vie privée et familiale garanti par l'art. 8 CEDH pour s'opposer à un éventuel départ du pays (cf. notamment arrêts du Tribunal fédéral 2C_300/2008 du 17 juin 2008 consid. 4.2, 2A.205/2006 du 1er juin 2006 consid. 3.2). Or, le recourant n'a pas allégué avoir entrepris des démarches concrètes afin de s'unir très prochainement à son amie. L'art. 8 CEDH ne trouve ainsi pas application dans le cas particulier. Enfin, s'agissant de la nécessité pour X._______ de demeurer en Suisse afin de défendre ses droits à l'occasion de son divorce, elle est toute relative, le prénommé étant parfaitement en mesure de se faire représenter par un mandataire professionnel dans le cadre de cette procédure. Aussi, l'exécution du renvoi de X._______ ne transgressant aucun engagement pris par la Suisse relevant du droit international, elle s'avère licite (art. 14a al. 3 LSEE).</w:t>
      </w:r>
    </w:p>
    <w:p>
      <w:r>
        <w:rPr>
          <w:b/>
        </w:rPr>
        <w:t>E. 5.4</w:t>
      </w:r>
    </w:p>
    <w:p>
      <w:r>
        <w:t>Reste à examiner si l'exécution du renvoi de l'intéressé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arrêt du TAF C-662/2006 du 5 février 2009 consid. 6 et jurisprudence citée).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La situation du recourant en Suisse et, en particulier, les relations qu'il entretient avec les membres de sa famille qui y sont domiciliés, ne sont susceptibles d'être prises en considération que lors de la phase antérieure de procédure de police des étrangers portant sur l'examen de la question du règlement des conditions de séjour de la personne concernée. Des arguments de cette nature ne sauraient donc faire encore l'objet d'un examen par les autorités fédérales de police des étrangers au moment où celles-ci sont appelées à se prononcer sur l'exigibilité du renvoi au sens de l'art 14a al. 4 LSEE. Le Tribunal ne reviendra donc pas sur les aspects liés à l'intégration du recourant depuis son arrivée en Suisse, lesquels ont déjà été discutés de manière approfondie dans le cadre de la procédure cantonale d'autorisation (cf. consid. 3 supra; voir également JAAC 62.52 consid. 13.2 in fine). Cela étant, le recourant a exposé suivre au CTA un traitement, dont l'échéance est prévue en janvier 2010. Un premier certificat médical du 29 novembre 2007 a mis en exergue que X._______, afin de récupérer son droit à la conduite, s'était présenté à 15 séances de suivi psychologique dans le cadre de la consultation d'alcoologie, où son évolution était jugée très positive. Il était abstinent depuis le 1er janvier 2007 et avait pris la décision de viser une abstinence sur le long terme en modifiant son mode de vie et le cercle de ses amis. Une attestation complémentaire du 8 octobre 2008 a mentionné qu'il avait poursuivi ses consultations durant l'année 2008, afin de satisfaire à une abstinence d'alcool contrôlée, selon l'avis de restitution du droit de conduire du Service des automobiles. A cette occasion, il a été relevé que X._______ était coopérant, que le pronostic était favorable et que la mesure allait prendre fin en janvier 2010. Force est d'admettre que le recourant a finalement pris conscience des excès liés à sa consommation abusive d'alcool, en modifiant son comportement en conséquence. La seule continuation de son traitement ne saurait pourtant faire obstacle à un retour dans son pays d'origine. D'une part, il a déjà pu bénéficier d'une thérapie durant deux ans et demi et a démontré être capable de s'abstenir de toute prise d'alcool. Il lui appartient dès lors de poursuivre ses efforts en ce sens, indépendamment d'un renvoi de Suisse. D'autre part, le TAF constate que le traitement actuel a été préconisé par le Service des automobiles et que son interruption n'est manifestement pas de nature à mettre la vie du recourant en danger. A cela s'ajoute qu'il n'est nullement démontré que X._______ ne pourrait pas profiter d'une prise en charge similaire dans son pays d'origine. Les raisons médicales invoquées ne sont ainsi pas de nature à rendre inexigible l'exécution de son renvoi. A toutes fins utiles, il sera encore remarqué que les éventuels motifs résultant de difficultés consécutives à la situation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C-429/2008 du 27 avril 2009 consid. 6.4 et jurisprudence citée). Le Tribunal est amené à conclure que l'exécution du renvoi de Suisse de X._______ est raisonnablement exigible.</w:t>
      </w:r>
    </w:p>
    <w:p>
      <w:r>
        <w:rPr>
          <w:b/>
        </w:rPr>
        <w:t>E. 6</w:t>
      </w:r>
    </w:p>
    <w:p>
      <w:r>
        <w:t>Il ressort de ce qui précède que, par sa décision du 20 mai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