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C-4165/2008 vom 1. Dezember 2010</w:t>
      </w:r>
    </w:p>
    <w:p>
      <w:r>
        <w:t>Bundesverwaltungsgericht, 2010-12-01, FR</w:t>
      </w:r>
    </w:p>
    <w:p>
      <w:r>
        <w:rPr>
          <w:b/>
        </w:rPr>
        <w:t xml:space="preserve">Quelle: </w:t>
      </w:r>
      <w:r>
        <w:t>https://mcp.opencaselaw.ch/entscheid/bvger_C-4165_2008</w:t>
      </w:r>
    </w:p>
    <w:p>
      <w:r>
        <w:t>FR: TAF C-4165/2008 du 1 décembre 2010</w:t>
      </w:r>
    </w:p>
    <w:p>
      <w:r>
        <w:t>IT: TAF C-4165/2008 del 1 dicembre 2010</w:t>
      </w:r>
    </w:p>
    <w:p>
      <w:pPr>
        <w:pStyle w:val="Heading2"/>
      </w:pPr>
      <w:r>
        <w:t>Regeste</w:t>
      </w:r>
    </w:p>
    <w:p>
      <w:r>
        <w:t>Entrée</w:t>
      </w:r>
    </w:p>
    <w:p>
      <w:pPr>
        <w:pStyle w:val="Heading2"/>
      </w:pPr>
      <w:r>
        <w:t>Erwägungen</w:t>
      </w:r>
    </w:p>
    <w:p>
      <w:r>
        <w:rPr>
          <w:b/>
        </w:rPr>
        <w:t>E. 5</w:t>
      </w:r>
    </w:p>
    <w:p>
      <w:r>
        <w:t>Il convient encore d'examiner si la mesure d'éloignement prise par l'ODM satisfait aux principes de la proportionnalité et de l'égalité de traitement.</w:t>
      </w:r>
    </w:p>
    <w:p>
      <w:r>
        <w:rPr>
          <w:b/>
        </w:rPr>
        <w:t>E. 5.1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5.2</w:t>
      </w:r>
    </w:p>
    <w:p>
      <w:r>
        <w:t>L'interdiction d'entrée prononcée à l'endroit de X._______ est une mesure administrative de contrôle qui tend à le tenir éloigné de Suisse où il a commis des infractions aux prescriptions de police des étrangers. Il en va de l'intérêt de l'Etat à voir respectés l'ordre établi et la législation en vigueur (cf. arrêt du Tribunal administratif fédéral C-5479/2008 du 24 juillet 2009 consid. 6.2.2). Les infractions reprochées à l'intéressé revêtent une certaine gravité. L'intérêt privé du recourant à rendre visite à son ami et à pouvoir se déplacer librement en Suisse ne saurait, dans ces conditions et en l'état du dossier, être considéré comme prépondérant par rapport à l'intérêt public à son éloignement. Il convient en outre de relever que tant le Tribunal cantonal que le Tribunal fédéral ont estimé dans leurs arrêts respectifs (cf. consid. K) que la relation entretenue par le recourant avec son ami constituait un partenariat de complaisance servant à éluder les dispositions sur l'admission et le séjour des étrangers, ce qui ne justifiait donc ni l'enregistrement dudit partenariat, ni, par voie de conséquence, la délivrance d'une autorisation de séjour dans ce but. Au vu de l'ensemble des éléments objectifs et subjectifs de la cause, le Tribunal estime que l'interdiction d'entrée en Suisse prononcée par l'autorité intimée, limitée dans le temps au 4 avril 2011,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6</w:t>
      </w:r>
    </w:p>
    <w:p>
      <w:r>
        <w:t>Il ressort de ce qui précède que, par sa décision du 28 avril 2008, l'ODM n'a ni violé le droit fédéral, ni constaté des faits pertinents de manière inexacte ou incomplète; en outre, cette décision n'est pas inopportune (art. 49 PA). Le recours est en conséquence rejeté. Du fait du présent arrêt, la requête de restitution de l'effet suspensif est sans objet.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