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C-4163/2009 vom 22. Januar 2010</w:t>
      </w:r>
    </w:p>
    <w:p>
      <w:r>
        <w:t>Bundesverwaltungsgericht, 2010-01-22, DE</w:t>
      </w:r>
    </w:p>
    <w:p>
      <w:r>
        <w:rPr>
          <w:b/>
        </w:rPr>
        <w:t xml:space="preserve">Quelle: </w:t>
      </w:r>
      <w:r>
        <w:t>https://mcp.opencaselaw.ch/entscheid/bvger_C-4163_2009</w:t>
      </w:r>
    </w:p>
    <w:p>
      <w:r>
        <w:t>FR: TAF C-4163/2009 du 22 janvier 2010</w:t>
      </w:r>
    </w:p>
    <w:p>
      <w:r>
        <w:t>IT: TAF C-4163/2009 del 22 gennaio 2010</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8. April 2009 wird aufgehoben.</w:t>
      </w:r>
    </w:p>
    <w:p>
      <w:r>
        <w:rPr>
          <w:b/>
        </w:rPr>
        <w:t>E. 2</w:t>
      </w:r>
    </w:p>
    <w:p>
      <w:r>
        <w:t>Die Sache wird mit der Weisung an die Vorinstanz zurückgewiesen, die erforderliche medizinische Begutachtung im Sinne der Erwägungen durchführen zu lassen und anschliessend in der Sache neu zu verfügen.</w:t>
      </w:r>
    </w:p>
    <w:p>
      <w:r>
        <w:rPr>
          <w:b/>
        </w:rPr>
        <w:t>E. 3</w:t>
      </w:r>
    </w:p>
    <w:p>
      <w:r>
        <w:t>Es werden keine Verfahrenskosten erhoben und es wird keine Parteientschädigung zugesprochen.</w:t>
      </w:r>
    </w:p>
    <w:p>
      <w:r>
        <w:rPr>
          <w:b/>
        </w:rPr>
        <w:t>E. 4</w:t>
      </w:r>
    </w:p>
    <w:p>
      <w:r>
        <w:t>Dieses Urteil geht an: den Beschwerdeführer (Gerichtsurkunde; Beilage: Doppel der Vernehmlassung vom 11. Januar 2010 inklusive Bericht von Dr. med. D._______ vom 5. November 2009 in Kopie [act. 106]) die Vorinstanz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