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C-4160/2015 vom 7. Dezember 2015</w:t>
      </w:r>
    </w:p>
    <w:p>
      <w:r>
        <w:t>Bundesverwaltungsgericht, 2015-12-07, DE</w:t>
      </w:r>
    </w:p>
    <w:p>
      <w:r>
        <w:rPr>
          <w:b/>
        </w:rPr>
        <w:t xml:space="preserve">Quelle: </w:t>
      </w:r>
      <w:r>
        <w:t>https://mcp.opencaselaw.ch/entscheid/bvger_C-4160_2015</w:t>
      </w:r>
    </w:p>
    <w:p>
      <w:r>
        <w:t>FR: TAF C-4160/2015 du 7 décembre 2015</w:t>
      </w:r>
    </w:p>
    <w:p>
      <w:r>
        <w:t>IT: TAF C-4160/2015 del 7 dicembre 2015</w:t>
      </w:r>
    </w:p>
    <w:p>
      <w:pPr>
        <w:pStyle w:val="Heading2"/>
      </w:pPr>
      <w:r>
        <w:t>Regeste</w:t>
      </w:r>
    </w:p>
    <w:p>
      <w:r>
        <w:t>Rentenrevision</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angefochtene Verfügung datiert auf den 4. Mai 2015 und wurde gemäss den Angaben der Vorinstanz (act. 5) dem Beschwerdeführer am 10. Juni 2015 zur Kenntnis gebracht. Die dagegen erhobene Beschwerde vom 2. Juli 2015 wurde gleichentags der Post übergeben und ist somit fristgerecht erfolgt (vgl. 60 Abs. 1 ATSG). Als primärer Adressat der angefochtenen Verfügung vom 4. Mai 2015 ist der Beschwerdeführer zudem berührt und hat ein schutzwürdiges Interesse an deren Aufhebung oder Änderung (vgl. Art. 59 ATSG). Da die Beschwerde im Übrigen formgerecht (Art. 52 VwVG) eingereicht wurde, ist darauf grundsätzlich einzutreten.</w:t>
      </w:r>
    </w:p>
    <w:p>
      <w:r>
        <w:rPr>
          <w:b/>
        </w:rPr>
        <w:t>E. 2</w:t>
      </w:r>
    </w:p>
    <w:p>
      <w:r>
        <w:t>Vorab ist zu prüfen, ob die angefochtene Verfügung der Vorinstanz bereits schon allein deshalb aufzuheben ist, weil die Vorinstanz kein Vorbescheidverfahren durchgeführt hat. Wäre dies der Fall, müssten die weiteren Rügen des Be­schwerdeführers nicht geprüft werden.</w:t>
      </w:r>
    </w:p>
    <w:p>
      <w:r>
        <w:rPr>
          <w:b/>
        </w:rPr>
        <w:t>E. 2.1</w:t>
      </w:r>
    </w:p>
    <w:p>
      <w:r>
        <w:t>Der Beschwerdeführer machte beschwerdeweise geltend, es sei kein Vorbescheidverfahren durchgeführt worden. Die Vorinstanz bestätigte in ihrer Vernehmlassung vom 24. August 2015 diesen Vorwurf. Sie gab an, der am 6. März 2015 datierte Vorbescheid sei am 15. Mai 2015 von der Post retourniert worden. Davon habe die IV-Stelle erst nach dem Erlass der angefochtenen Verfügung Kenntnis erhalten. Der Beschwerdeführer habe demnach den Vorbescheid nie erhalten.</w:t>
      </w:r>
    </w:p>
    <w:p>
      <w:r>
        <w:rPr>
          <w:b/>
        </w:rPr>
        <w:t>E. 2.2</w:t>
      </w:r>
    </w:p>
    <w:p>
      <w:r>
        <w:t>Gemäss Art. 29 Abs. 2 der Bundesverfassung der Schweizerischen Eidgenossenschaft vom 18. April 1999 (BV, SR 101)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E. 3.3, BGE 132 V 368 E. 3.1 mit Hinweisen).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Im Bereich der Invalidenversicherung hat die Verwaltung - abgesehen von hier nicht massgeblichen Ausnahmen (vgl. BGE 134 V 97) - das rechtliche Gehör grundsätzlich im Vorbescheidverfahren (Art. 57a IVG) zu gewähren. Das Vorbescheidverfahren geht aber über den verfassungsrechtlichen Mindestanspruch hinaus, indem es Gelegenheit gibt, sich nicht nur zur Sache, sondern auch zum vorgesehenen Endentscheid zu äussern. Das Recht, angehört zu werden, ist formeller Natur. Dessen Verletzung führt ungeachtet der Erfolgsaussichten der Beschwerde in der Sache selbst in der Regel zur Aufhebung der angefochtenen Verfügung (BGE 127 V 431 E. 3d/aa, BGE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w:t>
      </w:r>
    </w:p>
    <w:p>
      <w:r>
        <w:rPr>
          <w:b/>
        </w:rPr>
        <w:t>E. 2.3</w:t>
      </w:r>
    </w:p>
    <w:p>
      <w:r>
        <w:t>Es ist unbestritten, dass der Vorbescheid im vorliegenden Rentenrevisionsverfahren nicht zugestellt worden ist. Dies ist aus den Akten denn auch ersichtlich (IV-act. 98, 99). Der Beschwerdeführer hatte somit keine Gelegenheit, am Verfahren betreffend die Revision seiner Invalidenrente durch die Vorinstanz teilzunehmen. Er konnte sich weder zur Sache oder dem vorgesehenen Endentscheid äussern, noch Beweise beibringen, Anträge stellen oder in die Akten einsehen. Die angefochtene Verfügung vom 4. Mai 2015, welche ohne seine Anhörung erlassen worden ist, stellt eine schwerwiegende Verletzung seines rechtlichen Gehörs dar. Angesichts der im vorliegenden Fall festgestellten schweren Verletzung des rechtlichen Gehörs und mit Blick auf die Umstände, dass im Vorbescheidverfahren an das rechtliche Gehör erhöhte Anforderungen zu stellen sind und vorliegend eine Rückweisung keineswegs als formalistischer Leerlauf zu qualifizieren ist, sondern zur ausreichenden Wahrung der Parteirechte erforderlich erscheint, kann die Gehörsverletzung vorliegend nicht geheilt werden (vgl. hierzu auch BVGE 2010/35 E. 4). Demnach ist die Beschwerde in diesem Punkt gutzuheissen, die Verfügung vom 27. Juni 2011 aufzuheben und die Sache zur Gewährung des rechtlichen Gehörs und anschliessenden Neubeurteilung an die Vorinstanz zurückzuweisen (Art. 61 Abs. 1 VwVG).</w:t>
      </w:r>
    </w:p>
    <w:p>
      <w:r>
        <w:rPr>
          <w:b/>
        </w:rPr>
        <w:t>E. 3.1</w:t>
      </w:r>
    </w:p>
    <w:p>
      <w:r>
        <w:t>Der Beschwerdeführer beantragte die Ausrichtung einer ganzen Invalidenrente. Im Eventualantrag verlangte er zudem, die Invalidenrente sei per Ende des Monats Juli 2015 zu reduzieren oder einzustellen.</w:t>
      </w:r>
    </w:p>
    <w:p>
      <w:r>
        <w:rPr>
          <w:b/>
        </w:rPr>
        <w:t>E. 3.2</w:t>
      </w:r>
    </w:p>
    <w:p>
      <w:r>
        <w:t>Vorliegend ist die angefochtene Verfügung ohne Anhörung des Beschwerdeführers erlassen worden. Wie unter Ziff. 2.3 ausgeführt, stellt dies eine schwerwiegende Verletzung des rechtlichen Gehörs dar, welche durch das Bundesverwaltungsgericht nicht geheilt werden kann und somit zur direkten Aufhebung der angefochtenen Verfügung führt. Bei diesem Ergebnis kann vorliegend auf die materiellen Begehren des Beschwerdeführers nicht eingetreten werden. Vielmehr ist die Sache zur ordnungsgemässen Weiterführung des Revisionsverfahrens ab dem Zeitpunkt der festgestellten Gehörsverletzung bis zum Erlass einer neuen Verfügung an die Vorinstanz zurückzuweisen.</w:t>
      </w:r>
    </w:p>
    <w:p>
      <w:r>
        <w:rPr>
          <w:b/>
        </w:rPr>
        <w:t>E. 4</w:t>
      </w:r>
    </w:p>
    <w:p>
      <w:r>
        <w:t>Zu befinden bleibt noch über die Verfahrenskosten und eine allfällige Parteientschädigung.</w:t>
      </w:r>
    </w:p>
    <w:p>
      <w:r>
        <w:rPr>
          <w:b/>
        </w:rPr>
        <w:t>E. 4.1</w:t>
      </w:r>
    </w:p>
    <w:p>
      <w:r>
        <w:t>Das Bundesverwaltungsgericht auferlegt gemäss Art. 63 Abs. 1 VwVG die Verfahrenskosten in der Regel der unterliegenden Partei. Eine Rückweisung gilt praxisgemäss als Obsiegen der beschwerdeführenden Partei (BGE 132 V 215 E. 6), sodass dem Beschwerdeführer keine Kosten aufzuerlegen sind. Der Vorinstanz werden ebenfalls keine Verfahrenskosten auferlegt (Art. 63 Abs. 2 VwVG).</w:t>
      </w:r>
    </w:p>
    <w:p>
      <w:r>
        <w:rPr>
          <w:b/>
        </w:rPr>
        <w:t>E. 4.2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2'000.-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