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C-4151/2015 vom 13. April 2016</w:t>
      </w:r>
    </w:p>
    <w:p>
      <w:r>
        <w:t>Bundesverwaltungsgericht, 2016-04-13, DE</w:t>
      </w:r>
    </w:p>
    <w:p>
      <w:r>
        <w:rPr>
          <w:b/>
        </w:rPr>
        <w:t xml:space="preserve">Quelle: </w:t>
      </w:r>
      <w:r>
        <w:t>https://mcp.opencaselaw.ch/entscheid/bvger_C-4151_2015</w:t>
      </w:r>
    </w:p>
    <w:p>
      <w:r>
        <w:t>FR: TAF C-4151/2015 du 13 avril 2016</w:t>
      </w:r>
    </w:p>
    <w:p>
      <w:r>
        <w:t>IT: TAF C-4151/2015 del 13 aprile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eines Staatsangehörigen der Republik Kosovo um Erteilung eines Visums für einen 14-tägigen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beziehungsweise Visum vermittelt auch das Schengen-Recht nicht (vgl. BVGE 2014/1 E. 4.1.5; a.M. Philipp Egli / Tobias D. Meyer, in: Caroni / Gächter / Thurnherr [Hrsg.],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Und schliesslich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seiner Staatszugehörigkeit unterliegt der Gesuchsteller der Visumspflicht (vgl. Anhang I zur Verordnung [EG] Nr. 539/2001 [ABl. L 81 vom 21.03.2001 S. 1 7;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Im Kosovo erweist sich die wirtschaftliche Lage auch Jahre nach Anerkennung der Unabhängigkeit als schwierig. Die Arbeitslosigkeit im Jahr 2014 lag offiziell bei über 35 % (bei Jugendlichen sogar noch deutlich höher), wobei diese Angaben aufgrund des in der Statistik schlecht erfassten informellen Sektors zu relativieren ist. Die kosovarische Regierung ging für das Jahr 2014 von einem Bruttoinlandprodukt von rund 3'080 Euro je Einwohner aus, womit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Stand: Dezember 2015, abgerufen im April 2016).</w:t>
      </w:r>
    </w:p>
    <w:p>
      <w:r>
        <w:rPr>
          <w:b/>
        </w:rPr>
        <w:t>E. 5.4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5.5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Beim Gesuchsteller handelt es sich um einen bald (...)-jährigen, ledigen und kinderlosen Mann. Hinsichtlich seiner persönlichen Lebensumstände im Kosovo ist nur wenig bekannt. Gemäss einer im erstinstanzlichen Verfahren edierten Wohnsitzbestätigung (SEM act. 2/2) lebt er in C._______, einer kleinen Ortschaft innerhalb der südwestlich gelegenen Region von D._______, in Hausgemeinschaft mit den Eltern und zwei jüngeren Brüdern. Nach Darstellung der Beschwerdeführerin ist diese mit seinem Vater verschwistert. Die familiären Verhältnisse wurden im Gesuchs- und den anschliessenden Rechtsmittelverfahren nicht weiter erläutert und es kann vor dem aktenkundigen Hintergrund weder von persönlichen noch von familiären Verpflichtungen ausgegangen werden, denen der Gesuchsteller in seinem Heimatland unterliegen würde und die in besonderem Masse geeignet wären, Gewähr für eine Rückkehr dorthin zu bieten.</w:t>
      </w:r>
    </w:p>
    <w:p>
      <w:r>
        <w:rPr>
          <w:b/>
        </w:rPr>
        <w:t>E. 6.2</w:t>
      </w:r>
    </w:p>
    <w:p>
      <w:r>
        <w:t>In Bezug auf die wirtschaftlichen Verhältnisse steht fest, dass der Gesuchsteller seit Abschluss seiner Berufslehre als (...) im Jahre (...) arbeitslos ist (Angabe der Beschwerdeführerin in ihren schriftlichen Auskünften vom 2. Juni 2015; SEM act. 6/26 f.). Die Vorinstanz rügte im angefochtenen Entscheid ungenügende Aufschlüsse durch den Gesuchsteller zu dessen wirtschaftlichen Verhältnissen. Dennoch bleibt auch im Beschwerdeverfahren unklar, von welchen Subsistenzmitteln der Gesuchsteller lebt bzw. in welchen Verhältnissen sich seine Familie befindet. Es versteht sich von selbst, dass auch solche Umstände nicht auf eine Verwurzelung, sondern im Gegenteil auf die besondere Gefahr schliessen lassen, dass der Betroffene - wie viele andere auch - eine Sicherung seiner Existenz durch Emigration ins Ausland suchen könnte.</w:t>
      </w:r>
    </w:p>
    <w:p>
      <w:r>
        <w:rPr>
          <w:b/>
        </w:rPr>
        <w:t>E. 6.3</w:t>
      </w:r>
    </w:p>
    <w:p>
      <w:r>
        <w:t>Vor diesem allgemeinen und persönlichen Hintergrund konnte die Vor- instanz willkürfrei zum Schluss gelangen, dass keine hinreichende Gewähr für eine fristgerechte und anstandslose Wiederausreise des Gesuchstellers nach einem Besuchsaufenthalt besteht. An dieser Einschätzung vermögen die gegenteiligen Zusicherungen der Beschwerdeführerin nichts zu ändern. An ihren guten Absichten und an ihrer aufrichtigen Überzeugung ist sicherlich nicht zu zweifeln, doch kann darauf nicht abgestellt werden. In ihrer Eigenschaft als Gastgeberin kann sie zwar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ihres Gastes (vgl. BVGE 2009/27 E. 9). Sie vermag schliesslich auch aus ihrem Hinweis auf den ruhigen und verantwortungsbewussten Charakter des Gesuchstellers nichts zu dessen Gunsten abzuleiten, kann daraus doch nicht verlässlich auf eine bestimmte Haltung zur Frage einer allfälligen Emigration geschlossen werden.</w:t>
      </w:r>
    </w:p>
    <w:p>
      <w:r>
        <w:rPr>
          <w:b/>
        </w:rPr>
        <w:t>E. 6.4</w:t>
      </w:r>
    </w:p>
    <w:p>
      <w:r>
        <w:t>Gründe für die Ausstellung eines Visums mit räumlich beschränkter Gültigkeit wurden von der Beschwerdeführerin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