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C-414/2012 vom 19. Juli 2013</w:t>
      </w:r>
    </w:p>
    <w:p>
      <w:r>
        <w:t>Bundesverwaltungsgericht, 2013-07-19, IT</w:t>
      </w:r>
    </w:p>
    <w:p>
      <w:r>
        <w:rPr>
          <w:b/>
        </w:rPr>
        <w:t xml:space="preserve">Quelle: </w:t>
      </w:r>
      <w:r>
        <w:t>https://mcp.opencaselaw.ch/entscheid/bvger_C-414_2012</w:t>
      </w:r>
    </w:p>
    <w:p>
      <w:r>
        <w:t>FR: TAF C-414/2012 du 19 juillet 2013</w:t>
      </w:r>
    </w:p>
    <w:p>
      <w:r>
        <w:t>IT: TAF C-414/2012 del 19 luglio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e 4 della legge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142.201] in relazione con l'art. 99 della LStr.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RS 142.311)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dell'OASA,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cfr. Vuille/Schenk, L'article 14 alinéa 2 de la loi sur l'asile et la notion d'intégration, in L'intégration des étrangers à l'épreuve du droit suisse, pag. 105 e segg.).</w:t>
      </w:r>
    </w:p>
    <w:p>
      <w:r>
        <w:rPr>
          <w:b/>
        </w:rPr>
        <w:t>E. 4.2</w:t>
      </w:r>
    </w:p>
    <w:p>
      <w:r>
        <w:t>Il Tribunale ha inoltre avuto l'occasione di pronunciarsi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op. cit., pag. 105 e segg.).</w:t>
      </w:r>
    </w:p>
    <w:p>
      <w:r>
        <w:rPr>
          <w:b/>
        </w:rPr>
        <w:t>E. 5.1</w:t>
      </w:r>
    </w:p>
    <w:p>
      <w:r>
        <w:t>Con riferimento alla prima condizione posta dall'art. 14 cpv. 2 LAsi, ovvero la presenza dell'interessato in Svizzera da almeno cinque anni dalla presentazione della domanda di asilo, il Tribunale sottolinea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dopo la decisione della TAF dell'8 ottobre 2008 che ha dichiarato irricevibile il ricorso dell'interessato contro il rifiuto della domanda di asilo, ha ottenuto l'autorizzazione a continuare il soggiorno nonché l'attività lucrativa in Svizzera da parte della SP (cfr. documento interno del 30 gennaio 2009 e lettera alla Polizia cantonale del 4 febbraio 2009, nonché le autorizzazioni di corta durata rinnovate regolarmente). Con scritto del 29 settembre 2009 le autorità cantonali informavano tuttavia la polizia cantonale che si sarebbe proceduto con il rimpatrio dell'interessato qualora quest'ultimo non avesse reperito una nuova attività lavorativa entro il 31 ottobre 2011 (cfr. lettera del 29 settembre 2011). Il 25 ottobre seguente la SP ha tuttavia preavvisato favorevolmente il rilascio di un permesso di dimora, sulla scorta dell'art. 14 cpv. 2 LAsi.</w:t>
      </w:r>
    </w:p>
    <w:p>
      <w:r>
        <w:rPr>
          <w:b/>
        </w:rPr>
        <w:t>E. 5.2</w:t>
      </w:r>
    </w:p>
    <w:p>
      <w:r>
        <w:t>Per quanto attiene alla seconda condizione cumulativa, il Tribunale rileva che il luogo di soggiorno di A._______ è sempre stato noto alle autorità (cfr. preavviso della SP del 25 ottobre 2011).</w:t>
      </w:r>
    </w:p>
    <w:p>
      <w:r>
        <w:rPr>
          <w:b/>
        </w:rPr>
        <w:t>E. 5.3.1</w:t>
      </w:r>
    </w:p>
    <w:p>
      <w:r>
        <w:t>Con riferimento alla condizione di presenza di un "caso particolarmente grave", dagli atti di causa emerge che l'integrazione sociale del ricorrente non é particolarmente forte. Infatti agli atti non figura alcuna testimonianza in merito alla conoscenza della lingua italiana, come neppure altre testimonianze comprovanti un'integrazione dell'interessato nella società civile rispettivamente nella comunità ticinese. Nemmeno sono sostanziate attività o partecipazioni alla vita comunitaria quali l'appartenenza a società o associazioni. Con scritto del 19 settembre 2012 il ricorrente ha allegato l'esistenza di una relazione sentimentale con F._______, cittadina svizzera, in attesa, al sesto mese di gravidanza, di un figlio comune. Sebbene agli atti sia depositata una dichiarazione di quest'ultima, A._______ non ha comunicato al Tribunale alcun aggiornamento circa la propria situazione famigliare, neppure dopo esplicita richiesta formulata con ordinanza del 26 aprile 2013. Contestualmente all'arrivo in Svizzera il ricorrente ha affermato di avere uno zio di nazionalità angolana residente nel Cantone Vaud (cfr. verbale di audizione Centro di registrazione e di procedura di Chiasso, pag. 2), circostanza però che non ha più riproposto in sede di ricorso. Conseguentemente, il Tribunale deve costatare l'assenza di legami in Svizzera da parte del ricorrente.</w:t>
      </w:r>
    </w:p>
    <w:p>
      <w:r>
        <w:rPr>
          <w:b/>
        </w:rPr>
        <w:t>E. 5.3.2</w:t>
      </w:r>
    </w:p>
    <w:p>
      <w:r>
        <w:t>Per quanto attiene l'integrazione professionale, il Tribunale rileva che l'interessato, conclusi gli anni di tirocinio, ha sostenuto gli esami di categoria senza successo. Egli ha quindi avuto l'opportunità di ripetere tali esami, il cui esito non è stato però comunicato al Tribunale. Inoltre dagli atti di causa non emerge alcuna testimonianza, in particolare da parte dei precedenti datori di lavoro, relativa ad alcuna integrazione professionale. Va rilevato infine lo scritto del 28 luglio 2011 della C._______, ultimo datore di lavoro dell'interessato, da cui emerge l'intenzione di non proseguire il rapporto di lavoro alla scadenza del contratto di tirocinio il 31 agosto 2011.</w:t>
      </w:r>
    </w:p>
    <w:p>
      <w:r>
        <w:rPr>
          <w:b/>
        </w:rPr>
        <w:t>E. 5.3.3</w:t>
      </w:r>
    </w:p>
    <w:p>
      <w:r>
        <w:t>Dall'istruttoria si evince inoltre che, a differenza di quanto indicato dall'autorità cantonale competente per il preavviso, il ricorrente non ha sempre mantenuto un comportamento rispettoso. Egli ha infatti interessato le autorità penali e amministrative a più riprese: in particolare egli è stato ammonito con decreto di non luogo a procedere del Ministero pubblico del Cantone Ticino del 18 maggio 2009, per il possesso di 2,20 grammi di marijuana; con decreto d'accusa, sempre della medesima autorità, cresciuto in giudicato, il ricorrente è stato inoltre condannato alla multa di 100.- franchi per ripetuta contravvenzione alla LStup. Conseguentemente la SP ha inoltre provveduto ad avvertire l'interessato che un ulteriore coinvolgimento "nell'ambito droga" avrebbe comportato il rimpatrio nel Paese d'origine (cfr. lettera della SP del 1° febbraio 2010). Dall'incarto cantonale richiamato, il Tribunale costata altresì l'esistenza di due rapporti della polizia del Cantone di Neuchâtel, del 28 giugno 2010 rispettivamente del 22 agosto 2012, in cui A._______ è stato riconosciuto colpevole di furto presso alcuni negozi di La Chaux-de-Fonds. Il Tribunale sottolinea inoltre che, contrariamente a quanto indicato nel preavviso cantonale, il ricorrente non può beneficiare di un'indipendenza finanziaria, nella misura in cui egli non svolge alcuna attività lucrativa ma risulta essere a beneficio della cassa disoccupazione (cfr. lettera Cassa disoccupazione UNIA, dell'11 ottobre 2011). A._______ ha parimenti beneficiato dell'assistenza sociale, e non risulta chiaro se egli abbia corrisposto in seguito gli importi versati dal servizio (cfr. lettera dell'Ufficio del sostegno sociale e dell'inserimento del 16 dicembre 2009). Infine l'interessato non ha allegato di versare in uno stato di salute precario ma anzi dal preavviso cantonale emerge che lo "stato di salute è buono" (cfr. preavviso SP del 25 ottobre 2011).</w:t>
      </w:r>
    </w:p>
    <w:p>
      <w:r>
        <w:rPr>
          <w:b/>
        </w:rPr>
        <w:t>E. 5.3.4</w:t>
      </w:r>
    </w:p>
    <w:p>
      <w:r>
        <w:t>Per quanto attiene alla reintegrazione nel proprio Paese di origine, il Tribunale rileva che il ricorrente ha dichiarato che in Congo vive ancora una rete familiare, composta dalla madre e da tre fratelli (cfr. verbale di audizione Centro di registrazione e di procedura di Chiasso, pag. 4). Inoltre l'interessato ha vissuto in patria sino al sedicesimo anno di età, trascorrendovi quasi per intero l'adolescenza ed apprendendo dunque perfettamente gli usi e i costumi locali. Va infine sottolineato che l'autorità di prima istanza ha già considerato ragionevolmente esigibile l'esecuzione dell'allontanamento dell'interessato verso la Repubblica democratica del Congo (cfr. decisione dell'UFM del 18 luglio 2008, pag. 5). In questo contesto il Tribunale non condivide le allegazioni di A._______ in merito alla violazione degli art. 25 cpv. 2 Cost., art. 33 della Convenzione sullo statuto dei rifugiati, art. 5 LAsi e l'art. 83 cpv. 3 LStr, che a suo dire lo esporrebbero ad un rischio reale ed immediato di trattamenti contrari all'art. 3 CEDU e art. 3 della Convenzione contro la tortura ed altre pene o trattamenti crudeli, inumani o degradanti, da una parte poiché alcuna prova verosimile è stata fornita in corso di istruttoria, e dall'altra poiché l'autorità di prima istanza - nel quadro della procedura di asilo - ha già rilevato che nessun elemento concreto lasciava intendere una "mise en danger concrète" del richiedente qualora il rimpatrio fosse stato eseguito (cfr. decisione UFM del 18 luglio 2008, pag. 4).</w:t>
      </w:r>
    </w:p>
    <w:p>
      <w:r>
        <w:rPr>
          <w:b/>
        </w:rPr>
        <w:t>E. 5.4</w:t>
      </w:r>
    </w:p>
    <w:p>
      <w:r>
        <w:t>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Congo.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possa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7</w:t>
      </w:r>
    </w:p>
    <w:p>
      <w:r>
        <w:t>Ne discende che l'UFM con la decisione del 10 gennaio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8</w:t>
      </w:r>
    </w:p>
    <w:p>
      <w:r>
        <w:t>Considerato che il ricorrente ha dimostrato di non disporre dei mezzi necessari sufficienti (cfr. formulario standard di gratuito patrocinio del 2 febbraio 2012) e considerato che le sue conclusioni non sembravano prive di probabilità di successo, l'autorità di ricorso, dispensa l'interessato dal pagamento delle spese processuali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