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C-4144/2010 vom 13. September 2011</w:t>
      </w:r>
    </w:p>
    <w:p>
      <w:r>
        <w:t>Bundesverwaltungsgericht, 2011-09-13, IT</w:t>
      </w:r>
    </w:p>
    <w:p>
      <w:r>
        <w:rPr>
          <w:b/>
        </w:rPr>
        <w:t xml:space="preserve">Quelle: </w:t>
      </w:r>
      <w:r>
        <w:t>https://mcp.opencaselaw.ch/entscheid/bvger_C-4144_2010</w:t>
      </w:r>
    </w:p>
    <w:p>
      <w:r>
        <w:t>FR: TAF C-4144/2010 du 13 septembre 2011</w:t>
      </w:r>
    </w:p>
    <w:p>
      <w:r>
        <w:t>IT: TAF C-4144/2010 del 13 settembre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300.- (eccedenza di Fr. 38.-).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w:t>
      </w:r>
    </w:p>
    <w:p>
      <w:r>
        <w:rPr>
          <w:b/>
        </w:rPr>
        <w:t>E. 5</w:t>
      </w:r>
    </w:p>
    <w:p>
      <w:r>
        <w:t>Il periodo di cognizione giudiziaria dello scrivente Tribunale amministrativo federale si estende fino all'11 marzo 2010,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inferiore ai tre anni, ma superiore ad un anno (26 mesi; cfr. contributi individuali, doc. 7). Tuttavia in Italia il nominato ha versato ininterrottamente contributi dall'aprile 1987 al 31 marzo 2009 (cfr. attestato concernente la carriera assicurativa in Italia, doc. 3).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A._______ è stato assunto da una società locale come guardia giurata nell'aprile 1987 ed ha lavorato normalmente (38-40 ore settimanali) fino al 24 novembre 2008. Il dipendente è rimasto assente dal lavoro causa malattia dal 25 novembre 2008 al 24 marzo 2009, ma a partire dal 1° aprile 2009 era stato assegnato a compiti interni (impiegato d'ufficio) con conseguente diminuzione di salario del 30%. Secondo l'attestato del datore di lavoro, ha rassegnato le dimissioni con effetto 30 settembre 2009 per non idoneità per il lavoro che aveva assunto (doc. 11).</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Nella fattispecie, l'interessato soffre di esiti di intervento per plastica mitralica, plastica aortica sub-commissurale e plastica tricuspidale per insufficienza mitralica severa ed insufficienza aortica lieve-moderata; impianto di pace-maker; dilatazione ed ipocinesia del ventricolo sinistro (frazione d'eiezione del 35%), artrite psoriasica, ipoacusia neurosensoriale. La documentazione esibita in sede di ricorso non evidenzia ulteriori patologie.</w:t>
      </w:r>
    </w:p>
    <w:p>
      <w:r>
        <w:rPr>
          <w:b/>
        </w:rPr>
        <w:t>E. 10</w:t>
      </w:r>
    </w:p>
    <w:p>
      <w:r>
        <w:t>Per quanto concerne le conseguenze invalidanti delle menzionate affezioni, il servizio medico dell'INPS pone un tasso d'invalidità dell'80%. Dal canto suo, i Dott.ri Bähler e Lehmann, dell'UAIE, ammettono che l'interessato non potrebbe più riprendere il suo lavoro di guardia giurata, ma a lui sarebbero proponibili lavori più leggeri in misura completa. I sanitari dell'amministrazione fondano il loro giudizio su di una documentazione oggettiva di tipo cardiologico completa. Infatti, la patologia in esame, a parte un problema psoriasico ora latente, si concentra sulla problematica cardiaca. Dagli atti si evince che gli interventi di plastica mitralica, aortica sub commissurale e plastica tricuspidalica hanno avuto buon successo. Essi si erano resi indispensabili visto il peggiorare della patologia mitralica e dell'insufficienza aortica. Senza dubbio, gli interventi subiti e l'istallazione di un pace-maker hanno giovato alla funzionalità cardiocircolatoria generale del paziente. Quest'ultimo impianto è normofunzionante. Gli esami eseguiti il 12 giugno 2009 sono abbastanza buoni. La dilatazione del ventricolo sinistro si trova ai limiti alti e vi è ancora una compromissione della funzione sistolica globale con la frazione di eiezione del 35%. Questa situazione è ancora patologica, ma nel complesso la funzionalità cardiocircolatoria è buona. Le insufficienze mitralica, tricuspidalica e valvolare aortica sono ora lievi. Con il referto d'esame cardiologico del 27 luglio 2009 (doc. 30) il paziente viene inserito nella classe NYHA II, il che significa che può ancora sopportare sforzi di discreta entità ossia lavori di manovalanza leggera o, a maggior ragione, di tipo semisedentario. Con il ricorso, a parte documentazione già ad atti, A._______ produce un esame cardiologico (12 novembre 2009) che attesta una situazione di buona funzionalità, salvo per la frazione di eiezione che è scesa al 30%. Secondo il Dott. Lehmann, complessivamente, non vi sono per ora elementi per escludere qualsiasi attività lavorativa. Il paziente sarebbe sempre inquadrabile nella classe NYHA II. Il successivo programma di riabilitazione cardiologica (dal 18 al 27 novembre 2009) ha permesso di confermare la stabilità della situazione in atto, pur annotando ancora una frazione di eiezione del 30%. Per il resto, A._______ soffre da tempo di una psoriasi di tipo artritico che si è manifestata con una crisi nel 2005 poi risoltasi. Questo tipo di patologia non è causa d'invalidità di rilievo se non in ambienti non idonei e/o con l'utilizzo di sostanze scatenanti la patologia stessa. Non è il caso per l'interessato. Anche l'episodio di ipoacusia neurosensoriale non riveste, nella specie, un carattere debilitante.</w:t>
      </w:r>
    </w:p>
    <w:p>
      <w:r>
        <w:rPr>
          <w:b/>
        </w:rPr>
        <w:t>E. 11.1</w:t>
      </w:r>
    </w:p>
    <w:p>
      <w:r>
        <w:t>Il collegio giudicante, sulla scorta del parere del servizio medico dell'UAI, ritiene che A._______, non avrebbe più potuto svolgere un'attività nel settore della vigilanza a partire dal 25 novembre 2008. A lui sarebbero comunque stati proponibili, al 100%, a partire da aprile 2009 (ripresa dell'attività lucrativa pur nel settore d'ufficio), attività di ripiego leggere e/o semisedentarie, ripetitive, non qualificate quali quella di operaio addetto al controllo di macchine di produzione automatica, operaio addetto all'imballaggio di piccoli oggetti, portiere d'albergo, addetto alla ricezione in portinerie di ditte, fattorino in ditta privata; custode di museo o di parcheggio, aiuto magazziniere ecc.</w:t>
      </w:r>
    </w:p>
    <w:p>
      <w:r>
        <w:rPr>
          <w:b/>
        </w:rPr>
        <w:t>E. 11.2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12.2</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Nella fattispecie, l'amministrazione ha considerato i parametri in vigore in Svizzera atteso che le retribuzioni assegnate all'interessato erano piuttosto basse (Euro 811.- al mese come guardia giurata nel 2009) e, in ogni caso, inferiori alle statistiche nazionali. L'operato dell'amministrazione può essere tutelato dal momento che, oltretutto, non reca alcun discapito per il ricorrente. Ne consegue un salario statistico di Fr. 4'774.64 nel 2008.</w:t>
      </w:r>
    </w:p>
    <w:p>
      <w:r>
        <w:rPr>
          <w:b/>
        </w:rPr>
        <w:t>E. 12.3</w:t>
      </w:r>
    </w:p>
    <w:p>
      <w:r>
        <w:t>Quale reddito da invalido l'autorità inferiore ha ritenuto quello ottenibile in attività di tipo leggero non qualificate e ripetitive. Solo i valori nazionali (statistiche UFS) sono applicabili. Queste attività comportano un salario medio mensile di Fr. 4'627.76.- (nel 2008). Questo introito teorico può essere ridotto per tenere conto dei fattori personali dell'assicurato (DTF 126 V 75), quali età, handicap. L'amministrazione ha operato una deduzione complessiva del 15%, ciò che può essere condiviso. Deve essere aggiunto che nell'ambito dell'applicazione di tale riduzione per fattori personali, l'amministrazione gode di un'ampia autonomia di giudizio che il giudice può rivedere soli in casi particolari (DTF 137 V 71 consid. 5.2). Ne consegue un salario dopo deduzione di Fr. 3'933.59.</w:t>
      </w:r>
    </w:p>
    <w:p>
      <w:r>
        <w:rPr>
          <w:b/>
        </w:rPr>
        <w:t>E. 12.4</w:t>
      </w:r>
    </w:p>
    <w:p>
      <w:r>
        <w:t>Il confronto fra un reddito privo d'invalidità di Fr. 4'774.64.- ed un introito teorico dopo l'insorgenza dell'invalidità di Fr. 3'933.59.-, causa una perdita di guadagno del 17.61% (arrotondato al 18%), tasso che esclude il riconoscimento del diritto ad un quarto di rendita dell'assicurazione svizzera per l'invalidità. Anche nell'ipotesi in cui si dovesse ammettere la riduzione massima consentita (25% invece del 15%), la perdita di guadagno non raggiungerebbe il 40%. Parimenti si può osservare che l'amministrazione avrebbe dovuto ritenere i dati statistici del 2009, anno di insorgenza eventuale di un diritto alla rendita. Fermo restando che tali dati non erano ancora a disposizione dell'amministrazione (calcolo effettuato il 24 dicembre 2009), la differenza nella fattispecie è irrilevante.</w:t>
      </w:r>
    </w:p>
    <w:p>
      <w:r>
        <w:rPr>
          <w:b/>
        </w:rPr>
        <w:t>E. 13</w:t>
      </w:r>
    </w:p>
    <w:p>
      <w:r>
        <w:t>Vero è infine che A._______ è stato riconosciuto invalido sia dalle patrie assicurazioni sociali, che da quelle del sistema assicurativo tedesco. Queste circostanze sono comunque non determinanti, dal momento che, come indicato al considerando 3.2, ciascuno degli Stati applica, come criterio di valutazione dell'invalidità, nozioni che sono proprie all'ordinamento giuridico in vigore in quello Stato.</w:t>
      </w:r>
    </w:p>
    <w:p>
      <w:r>
        <w:rPr>
          <w:b/>
        </w:rPr>
        <w:t>E. 14.1</w:t>
      </w:r>
    </w:p>
    <w:p>
      <w:r>
        <w:t>In queste circostanze il ricorso deve essere respinto e l'impugnata decisione confermata.</w:t>
      </w:r>
    </w:p>
    <w:p>
      <w:r>
        <w:rPr>
          <w:b/>
        </w:rPr>
        <w:t>E. 14.2</w:t>
      </w:r>
    </w:p>
    <w:p>
      <w:r>
        <w:t>Le spese processuali, ammontanti a Fr. 300.-, sono poste a carico del ricorrente e vengono compensate con l'anticipo versato. La differenza di Fr. 38.- deve essere restituita al ricorrente.</w:t>
      </w:r>
    </w:p>
    <w:p>
      <w:r>
        <w:rPr>
          <w:b/>
        </w:rPr>
        <w:t>E. 14.3</w:t>
      </w:r>
    </w:p>
    <w:p>
      <w:r>
        <w:t>Visto l'esito del ricorso, non vengono riconosciute indennità per spese ripetibili. Peraltro l'insorgente non è rappresentato.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