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C-4143/2009 vom 21. Juli 2010</w:t>
      </w:r>
    </w:p>
    <w:p>
      <w:r>
        <w:t>Bundesverwaltungsgericht, 2010-07-21, DE</w:t>
      </w:r>
    </w:p>
    <w:p>
      <w:r>
        <w:rPr>
          <w:b/>
        </w:rPr>
        <w:t xml:space="preserve">Quelle: </w:t>
      </w:r>
      <w:r>
        <w:t>https://mcp.opencaselaw.ch/entscheid/bvger_C-4143_2009</w:t>
      </w:r>
    </w:p>
    <w:p>
      <w:r>
        <w:t>FR: TAF C-4143/2009 du 21 juillet 2010</w:t>
      </w:r>
    </w:p>
    <w:p>
      <w:r>
        <w:t>IT: TAF C-4143/2009 del 21 luglio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Visumantrag eine Einschätzung des Migrationsrisikos (vgl. ABl. C 326, S. 10). Im Zusammenhang mit der Überprüfung des Aufenthaltszwecks kann daher an die bisherige Praxis und Rechtsprechung bezüglich des Merkmals der gesicherten Wiederausreise angeknüpft werden (vgl. BVGE 2009/27 E. 5.2 und E. 5.3).</w:t>
      </w:r>
    </w:p>
    <w:p>
      <w:r>
        <w:rPr>
          <w:b/>
        </w:rPr>
        <w:t>E. 5</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Tunesien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In Tunesien konnten zwar wirtschaftlich seit 2002 deutliche Wachstumsraten verzeichnet werden und das Land ist von der internationalen Finanzkrise dank eines abgeschotteten Kapitalmarktes weitgehend verschont geblieben. Die stabile wirtschaftliche und politische Situation ändert aber nichts an der Tatsache, dass die Arbeitslosenquote weiterhin relativ hoch ist (nach offiziellen Angaben liegt sie bei 14%). Die Regierung unter Premierminister Ghannouchi sieht denn auch die Senkung der wachsenden Jugend- und Jungakademikerarbeitslosigkeit als prioritäre Aufgabe (Quelle: Deutsches Auswärtiges Amt, www.auswaertiges-amt.de &gt; Länder, Reisen und Sicherheit &gt; Tunesien &gt; Rubriken Wirtschaft und Innenpolitik, Stand: November 2009; beide Seiten besucht am 21. Juni 2010). Gemäss dem Human Development Report 2009 weist Tunesien eine Migrationsrate von 5,9% auf, wobei 78,3% der Ausgewanderten in Europa leben. Entsprechend beachtlich sind die Rücküberweisungen von im Ausland lebenden tunesischen Staatsangehörigen; im Jahre 2007 USD 1,716 Millionen bzw. USD 166 pro Einwohner (Quelle: Human Development Report 2009 - Country Fact Sheets - Tunisia). Der Trend zur Auswanderung zeigt sich besonders stark bei ungebundenen Personen, die bereits über ein gewisses soziales Beziehungsnetz im Ausland verfügen (Verwandte, Freunde). Im Falle der Schweiz führt dies angesichts der restriktiven ausländerrechtlichen Zulassungsregelung nicht selten zur Umgehung einschlägiger Bestimmungen.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61-jährige, verheiratete Frau. Über die Verhältnisse, in denen sie in ihrem Heimatland lebt, ist weiter nichts bekannt. Der Beschwerdeführer gab zwar in seinen schriftlichen Auskünften gegenüber dem Migrationsamt des Kantons Basel-Stadt an, vor Ort lebten noch Familienangehörige. In der Beschwerde erwähnte er darüber hinaus, die Gesuchstellerin könne sich vor Ort auf ein enges soziales Netz abstützen. Sowohl im Gesuchsverfahren als auch auf Beschwerdeebene unterliess er es aber, die persönlichen und familiären Verhältnisse der Gesuchstellerin im Detail offen zu legen. Die Vorinstanz geht gestützt auf entsprechende Informationen der lokalen Vertretung Frankreichs davon aus, dass sich der Ehemann in Frankreich aufhält. Der Beschwerdeführer bestreitet dies und behauptet, sein Vater lebe mit der Mutter zusammen in Tunesien. Er unterlässt es allerdings, dafür irgendwelche Beweise zu erbringen bzw. sich auch nur zur Tatsache zu äussern, dass vor offenbar nicht langer Zeit versucht worden sein soll, der Gesuchstellerin im Rahmen des Familiennachzugs zu einer Aufenthaltsbewilligung in Frankreich zu verhelfen. Eine Schwester (ob der Gesuchstellerin oder ihres Sohnes in der Schweiz ist aus der Formulie-rung des Beschwerdeführers nicht zu erkennen) soll sich in Frankreich aufhalten. Insgesamt sind solchermassen bei der Gesuchstellerin keine persönlichen bzw. familiären Bindungen oder gar Verpflichtungen festzustellen, welche die Prognose einer fristgerechten und anstandslosen Wiederausreise begünstigen könnten. Demgegenüber besteht - durch die Anwesenheit naher Angehöriger - ein enger Bezug zur Schweiz und offenbar auch ein solcher zu Frankreich.</w:t>
      </w:r>
    </w:p>
    <w:p>
      <w:r>
        <w:rPr>
          <w:b/>
        </w:rPr>
        <w:t>E. 7.2</w:t>
      </w:r>
    </w:p>
    <w:p>
      <w:r>
        <w:t>Die Gesuchstellerin geht keiner Erwerbstätigkeit nach. Es kann davon ausgegangen werden, dass sie ihren Lebensunterhalt mit Hilfe ihrer im Ausland lebenden Angehörigen bestreitet. In welchen wirtschaftlichen Verhältnissen sie vor Ort lebt, ist allerdings nicht bekannt. Somit sind bei der Gesuchstellerin auch in wirtschaftlicher Hinsicht keine Verhältnisse erkennbar, die verlässlich von einer Emigration abhalten könnten.</w:t>
      </w:r>
    </w:p>
    <w:p>
      <w:r>
        <w:rPr>
          <w:b/>
        </w:rPr>
        <w:t>E. 7.3</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vermag die vom Beschwerdeführer am 26. Mai 2009 schriftlich abgegebene Garantie für eine anstandslose und fristgerechte Wiederausreise seiner Mutter nichts zu ändern. Eine "Garantie" in diesem Zusammenhang ist nämlich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(BVGE 2009/27 E. 9). Ebenfalls nichts zu ändern an der Risikoeinschätzung vermag die Bereitschaft des Beschwerdeführers, eine Bürgschaft - wohl in Form einer Kaution - zu leisten. Eine solche Sicherheitsleistung (über die Garantie für ungedeckte Kosten hinaus) war im erstinstanzlichen Verfahren kein Thema. Kommt hinzu, dass auch diese Sicherheit einseitig den Gastgeber verpflichten würde und sie sich nach dem Gesagten kaum als taugliches Mittel erweisen würde, wenn es darum geht, das Verhalten des Gastes selbst zu beeinflussen.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