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C-4134/2008 vom 3. Januar 2011</w:t>
      </w:r>
    </w:p>
    <w:p>
      <w:r>
        <w:t>Bundesverwaltungsgericht, 2011-01-03, DE</w:t>
      </w:r>
    </w:p>
    <w:p>
      <w:r>
        <w:rPr>
          <w:b/>
        </w:rPr>
        <w:t xml:space="preserve">Quelle: </w:t>
      </w:r>
      <w:r>
        <w:t>https://mcp.opencaselaw.ch/entscheid/bvger_C-4134_2008</w:t>
      </w:r>
    </w:p>
    <w:p>
      <w:r>
        <w:t>FR: TAF C-4134/2008 du 3 janvier 2011</w:t>
      </w:r>
    </w:p>
    <w:p>
      <w:r>
        <w:t>IT: TAF C-4134/2008 del 3 gennaio 2011</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16. Mai 2008 stellt eine Verfügung nach Art. 5 des Bundesgesetzes über das Ver­waltungsverfahren vom 20. Dezember 1968 (Verwaltungs­ver­fahrens­ge­setz, VwVG, SR 172.021) dar. Das Bundesverwaltungs­ge­richt ist für die Beurteilung von Be­schwerden gegen Verfügungen nach Art. 5 VwVG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im Übrigen frist- und formgerecht (Art. 60 Abs. 1 ATSG und Art. 52 Abs. 1 VwVG) eingereicht und der erhobene Kostenvorschuss fristgerecht einbezahlt, weshalb auf die Beschwerde einzutreten ist.</w:t>
      </w:r>
    </w:p>
    <w:p>
      <w:r>
        <w:rPr>
          <w:b/>
        </w:rPr>
        <w:t>E. 2</w:t>
      </w:r>
    </w:p>
    <w:p>
      <w:r>
        <w:t>Streitig und zu prüfen ist vorliegend, ob die Vorinstanz der Beschwer­de­führerin zu Recht eine befristete Rente vom 1. Mai 2006 bis zum 31. August 2007 zugesprochen hat, oder ob die Beschwerdeführerin auch nach dem 31. August 2007 Anspruch auf eine Rente hat. Insbesondere wird von der Beschwerdeführerin die Beurteilung der Arbeitsfähigkeit in Verweisungstätigkeiten sowie die Bemessung des Invaliditätsgrades gerügt.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Rechts­sätze massgebend, die bei Erlass der angefochtenen Verfü­gung vom 16. Mai 2008 in Kraft standen, weiter aber auch solche, die zu jenem Zeitpunkt bereits ausser Kraft getreten waren, die aber für die Beurteilung eines allenfalls früher entstandenen Leistungsanspruchs von Belang sind (BGE 134 V 315 E. 1.2, BGE 130 V 329 E. 2.3).</w:t>
      </w:r>
    </w:p>
    <w:p>
      <w:r>
        <w:rPr>
          <w:b/>
        </w:rPr>
        <w:t>E. 3.1.1</w:t>
      </w:r>
    </w:p>
    <w:p>
      <w:r>
        <w:t>Die Beschwerdeführerin ist deutsche Staatsangehörige und hat dort ihren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3.1.2</w:t>
      </w:r>
    </w:p>
    <w:p>
      <w:r>
        <w:t>Ferner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4</w:t>
      </w:r>
    </w:p>
    <w:p>
      <w:r>
        <w:t>Nach der bundesgerichtlichen Rechtsprechung sind für die Bestim­mungen des rechtserheblichen Sachverhalts im Beschwerde­ver­fahren grundsätzlich die tatsächlichen Verhältnisse zur Zeit des Erlasses der angefochtenen Verfügung massgebend (hier: 16. Mai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5</w:t>
      </w:r>
    </w:p>
    <w:p>
      <w:r>
        <w:t>Gemäss Art. 40 Abs. 2 IVV ist bei Grenzgängern die IV-Stelle, in deren Tätigkeitsbereich der Grenzgänger eine Erwerbstätigkeit ausübt, zur Entgegennahme und Prüfung der Anmeldung zuständig. Dies gilt auch für ehemalige Grenzgänger, sofern sie bei der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 Die Beschwerdeführerin übte zur Zeit der Einreichung der Anmeldung als Grenzgängerin eine Erwerbstätigkeit im Tätigkeitsbereich der IV-Stelle Basel-Stadt aus und hatte ihren Wohnsitz im Zeitpunkt der Anmeldung in der benachbarten Grenzzone. Somit war die IV-Stelle Basel-Stadt zuständig für die Entgegennahme und Prüfung des Leistungsgesuches und die IV-Stelle für Versicherte im Ausland zum Erlass der angefochtenen Verfügung.</w:t>
      </w:r>
    </w:p>
    <w:p>
      <w:r>
        <w:rPr>
          <w:b/>
        </w:rPr>
        <w:t>E. 6</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Die Beschwerdeführerin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(vgl. act. 10, S. 2-5).</w:t>
      </w:r>
    </w:p>
    <w:p>
      <w:r>
        <w:rPr>
          <w:b/>
        </w:rPr>
        <w:t>E. 7</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Dies trifft auf den Beschwerdeführer zu.</w:t>
      </w:r>
    </w:p>
    <w:p>
      <w:r>
        <w:rPr>
          <w:b/>
        </w:rPr>
        <w:t>E. 7.1</w:t>
      </w:r>
    </w:p>
    <w:p>
      <w:r>
        <w:t>Gemäss Art. 29 Abs. 1 IVG (in der von 2004 bis Ende 2007 gültig gewesenen Fassung) entsteht der Renten­an­spruch frühestens in dem Zeitpunkt, in dem die versicherte Person min­destens zu 40% bleibend erwerbsunfähig (Art. 7 ATSG) geworden ist (Bst. a) oder während eines Jahres ohne wesentlichen Unterbruch durchschnittlich mindestens zu 40% arbeitsunfähig (Art. 6 ATSG) gewesen war (Bst. b).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w:t>
      </w:r>
    </w:p>
    <w:p>
      <w:r>
        <w:rPr>
          <w:b/>
        </w:rPr>
        <w:t>E. 7.2</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7.3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8</w:t>
      </w:r>
    </w:p>
    <w:p>
      <w:r>
        <w:t>Den im vorliegenden Beschwerdeverfahren relevanten medizinischen Unterlagen ist Folgendes zu entnehmen: Prof. Dr. G._______ stellte im ärztlichen Kurzbericht vom 4. Mai 2006 im Wesentlichen fest, die Berufsfähigkeit sei nicht gegeben, da die Beschwerdeführerin aufgrund von Störungen der Konzentration und Merk­fähigkeit den beruflich gestellten Anforderungen nicht mehr ge­recht werde (act. 45, S.17). Prof. Dr. M._______, Neurochirurge, bescheinigte in seinem Arztbericht vom 21. Mai 2007 mit Wirkung ab 3. Mai 2006 eine 100%-ige Arbeitsfähigkeit (act. 37, S. 1-4). Um die Arbeitsfähigkeit zu beurteilen, wurde die Beschwerdeführerin im Auftrag von Prof. Dr. med. S._______ von Prof. Dr. phil. J._______, Leiter L._______ Clinic - NPZ, und lic. phil K._______, Fachpsychologe für Neuropsychologie FSP, neuropsychologisch abgeklärt. Dem neuropsychologischen Fachgutachten vom 8. Novem­ber 2007 sind die Diagnosen Subarachnoidalblutung Hunt &amp; Hess IIa, Fisher 3 bei Aneurysma der A. cerebri media links und Zweit­aneurysma der A. cerebri anterior links (Clipping des Aneurysma der A. cerebri media am 27. Mai 2005 und Revision/Kraniotomie und Clipping des Aneurysma der A. cerebri anterior rechts am 30. Mai 2005) zu entnehmen. Die Beschwerdeführerin sei bei einer leichten neuropsychischen Störung in einer einfachen und klar strukturierten Verweisungstätigkeiten zu 80% arbeitsfähig. In den angestammten beruflichen Tätigkeiten als selbständige Geschäfts­führerin und als angestellte Leiterin eines Sekretariats bestehe volle Arbeitsunfähigkeit. Eine weitere alltagsrelevante Verbesserung der Symptomatik sei nicht auszuschliessen. Hingegen sei ein Erreichen des früheren beruflichen Leistungsniveaus nicht mehr zu erwarten (act. 45, S. 6-11). Prof. Dr. med. S._______, neurologisch-neuropsychologische Poliklinik Universitätsspital B._______, nannte im neurologisch-neurochirurgischen Bericht vom 3. Dezember 2007 mit Auswirkung auf die Arbeitsfähigkeit ebenfalls die Diagnosen Subarachnoidalblutung Hunt &amp; Hess IIa, Fisher 3 bei Aneurysma der A. cerebri media links und Zweit­aneurysma der A. cerebri anterior links (Clipping des Aneurysma der A. cerebri media am 27. Mai 2005 und Revision/Kraniotomie und Clipping des Aneurysma der A. cerebri anterior rechts am 30. Mai 2005). Prof. S._______ erachtete die Beschwerdeführerin in ihrer bisherigen Tätigkeit als kaufmännische Angestellte seit dem 27. Mai 2005 zu 100% als arbeitsunfähig. Auf S. 4 gab der Neurologe jedoch an, dass im Rahmen einer klar strukturierten und nicht zu anspruchsvollen Tätigkeit ein Leistungsniveau im Umfang von 80% gegeben sei; auf S. 5 wiederum erachtete er die Ausübung solcher Tätigkeiten zu 3 Stunden täglich als zumutbar (act. 45, S. 1-5). Dr. O._______, regional ärztlicher Dienst beider B._______ (RAD), erklärte am 10. Dezember 2007 in seiner Stellungnahme, im Gutachten vom 3. Dezember 2007 fänden sich Widersprüchlichkeiten, weshalb darauf nicht abgestellt werden könne. Einerseits werde der Beschwerde­führerin in der bisherigen Tätigkeit eine 100%-ige Arbeitsunfähigkeit attestiert, andererseits werde in der bisherigen Tätigkeit eine Arbeits­fähigkeit im Umfang von 80% als zumutbar erachtet; auf S. 5 wiederum werde die Beschwerdeführerin zu 3 Stunden täglich in alternativen Tätigkeiten als arbeitsfähig erachtet. Vorliegend sei die Beurteilung der Arbeitsfähigkeit gestützt auf den Bericht der L._______ Clinic vom 8. November 2007 vorzunehmen, wonach die Beschwerdeführerin aufgrund der neurologischen Einschränkung in einem nicht anspruchs­vollen Leistungs­niveau zu 80% arbeitsfähig sei (vgl. Protokoll per 8. August 2008, S. 3). Im von Prof. Dr. M._______, Chefarzt und Dr. phil N._______, Fachpsychologe, unterzeichneten psychologischen Abklärungsbericht vom 27. Mai 2008 sind die gleichen Diagnosen aufgeführt wie im Gutachten vom 3. Dezember 2007. Im Rahmen der testpsycholo­gischen Verlaufsuntersuchung befanden die Ärzte, dass sich weit­gehend vergleichbare Ergebnisse wie bei früheren Untersuchungen im Juli/August 2005 fänden, wenn auch teilweise deutliche Leistungsschwankungen zu beobachten seien. Bezüglich der Beur­teilung der Arbeitsfähigkeit in der bisherigen Tätigkeit schlossen sich die untersuchenden Ärzte der Einschätzung von Prof. S._______ und lic. phil. K._______ an, wonach eine 100%-ige Arbeitsunfähigkeit bestehe. In einer Verweisungstätigkeit erachteten sie die Be­schwerdeführerin jedoch höchstens zu 40% arbeitsfähig, da die Belastbarkeitsgrenze nach ca. drei bis dreieinhalb Stunden erreicht sei und danach eine längere Erholungsphase benötigt werde (act. 60, S. 3-6). Dr. O._______ wiederum zur Stellungnahme aufgefordert, erklärte am 6. Juni 2008, an der Beurteilung, wonach die Beschwerdeführerin zu 80% arbeitsfähig sei, könne festgehalten werden. Seit Ende 2005 habe sich nichts verändert; auf die Durchführung weiterer Abklärungen könne verzichtet werden. Dr. N._______ mache in seinem Bericht vom 5. August 2008 widersprüchliche Angaben. Einerseits erkläre er, der Gesund­heitszustand habe sich seit Juli/August 2005 aufgrund der erhöhten Ermüdbarkeit und Verminderung der Impuls­kontrolle nicht mehr ver­ändert, andererseits gebe er an, die Befunde stimmten mit der Beur­teilung von Prof. S._______ und lic. phil K._______ überein. Dennoch schliesse er in Abweichung von deren Beurteilung auf eine 40%-ige Arbeits­fähigkeit. Dr. O._______ kam zum Schluss, dass es sich somit um eine andere Wertung der Arbeits­fähigkeit bei gleichbleibenden Befunden handle, weshalb eine 80%-ige Arbeitsfähigkeit in einer Ver­weisungs­tätigkeit vorliege (vgl. Protokoll per 8. August 2008, S. 5).</w:t>
      </w:r>
    </w:p>
    <w:p>
      <w:r>
        <w:rPr>
          <w:b/>
        </w:rPr>
        <w:t>E. 8.1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[EVG] I 520/ 99 vom 20. Juli 2000).</w:t>
      </w:r>
    </w:p>
    <w:p>
      <w:r>
        <w:rPr>
          <w:b/>
        </w:rPr>
        <w:t>E. 8.2</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 BGE 122 V 157 E. 1).</w:t>
      </w:r>
    </w:p>
    <w:p>
      <w:r>
        <w:rPr>
          <w:b/>
        </w:rPr>
        <w:t>E. 8.3</w:t>
      </w:r>
    </w:p>
    <w:p>
      <w:r>
        <w:t>In Würdigung der medizinischen Unterlagen ist festzustellen, dass die Ärzte hinsichtlich der mit Auswirkungen auf die Arbeitsfähigkeit genannten Diagnosen übereinstimmen.</w:t>
      </w:r>
    </w:p>
    <w:p>
      <w:r>
        <w:rPr>
          <w:b/>
        </w:rPr>
        <w:t>E. 8.4</w:t>
      </w:r>
    </w:p>
    <w:p>
      <w:r>
        <w:t>Näher zu prüfen ist jedoch, die daraus resultierende Arbeitsfähigkeit. Einig sind sich die Ärzte, dass die Beschwerdeführerin in ihrer zuletzt ausgeübten Tätigkeit als kaufmännische Angestellte und selbständige Geschäftsführerin zu 100% arbeitsunfähig ist. Unterschiedlich wird jedoch die Arbeitsfähigkeit in einer Ver­weisungstätigkeit beurteilt. Im neuropsychologischen Fachgutachten vom 8. November 2007 wird die Beschwerdeführerin in einer Verweisungstätigkeit zu 80% arbeitsfähig erachtet (act. 45, S. 6-11). Dr. O._______, RAD, schliesst sich dieser Einschätzung an. Prof. Dr. S._______ macht in seinem Bericht vom 3. Dezember 2007 widersprüchliche Angaben. Einerseits befindet er, dass die Beschwer­deführerin in einer nicht zu anspruchsvollen Tätigkeit zu 80% arbeitsfähig sei, andererseits gibt er an, dass die Ausübung von solchen Tätigkeiten nur im Umfang von 3 Stunden täglich möglich sei. Unklar ist in diesem Zusammenhang, von welcher gesamten Arbeitstätigkeit er ausgeht, wenn er angibt, dass Tätigkeiten 3 Stunden täglich zumutbar seien (act. 45, S. 1-5). Die Gutachter im von der Beschwerdeführerin in Auftrag gegebenen psychologischen Abklärungsbericht vom 27. Mai 2008 erachten eine Arbeitsfähigkeit in Verweisungstätigkeiten höchstens zu 40% als gegeben, dies insbesondere aufgrund der Tatsache, dass die Belastbarkeitsgrenze nach drei bis dreieinhalb Stunden erreicht sei (act. 60, S. 3-6). Zusammenfassend ist festzustellen, dass die Vorinstanz auf die Beurteilung des RAD-Arztes abgestellt hat - dieser hat die Beurteilung gestützt auf das neuropsychologische Gutachten vom 8. November 2007 vorgenom­men - ohne sich mit der unterschiedlichen Beurteilung der Arbeitsfähigkeit in Verweisungstätigkeiten durch Prof. S._______ auseinanderzusetzen. Die IV-Stelle Basel-Stadt begründete in keiner Weise, weshalb sie nicht der Einschätzung von Prof. S._______ folgte, obwohl sie diesen eingeladen hat, zu den gesundheitlichen Beeinträchti­gungen und deren Auswirkungen auf die Arbeitsfähigkeit in der bisherigen Tätigkeit und in Verweisungstätigkeiten Stellung zu nehmen. Insbesondere auch aufgrund der Tatsache, dass Prof. S._______ in seinem Bericht vom 3. Dezember 2007 widersprüchliche Angaben zur Arbeitsfähigkeit machte, wäre die Vorinstanz verpflichtet gewesen, bei Prof. S._______ nachzufragen, und eventuell weitere Abklärungen in dieser Hinsicht vorzunehmen. Zu bemerken ist auch, dass die Ärzte im neuropsychologischen Gutachten vom 8. November 2007 auf ein Hauptgutachten hinweisen, sich in den Akten jedoch kein solches Gutachten befindet.</w:t>
      </w:r>
    </w:p>
    <w:p>
      <w:r>
        <w:rPr>
          <w:b/>
        </w:rPr>
        <w:t>E. 8.5</w:t>
      </w:r>
    </w:p>
    <w:p>
      <w:r>
        <w:t>Das Bundesverwaltungsgericht kommt zum Schluss, dass aufgrund der vorstehenden Erwägungen nach dem im Sozialversiche­rungs­recht massgeblichen Beweisgrad der überwiegenden Wahrscheinlichkeit nicht festgestellt werden kann, in welchem Ausmass die Beschwerdeführerin in Verweisungstätigkeiten arbeitsfähig ist. Bei einer allfälligen Verbesserung des Gesundheitszustandes ist Art. 88a Abs. 1 IVV zu beachten, wonach eine Verbesserung der Erwerbsfähigkeit zu berücksichtigen ist, nachdem sie ohne wesentliche Unter­brechung drei Monate angedauert hat.</w:t>
      </w:r>
    </w:p>
    <w:p>
      <w:r>
        <w:rPr>
          <w:b/>
        </w:rPr>
        <w:t>E. 8.6</w:t>
      </w:r>
    </w:p>
    <w:p>
      <w:r>
        <w:t>Für die Ermittlung des Invaliditätsgrades hat die IV-Stelle Basel-Stadt bei der Bestimmung des Valideneinkommens auf den Durchschnitt der Betriebsergebnisse der Jahre 2001 - 2004 abgestellt. Es fällt auf, dass das im Jahr 2001 erzielte Einkommen weit unter denjenigen der Jahre 2002 - 2004 liegt. Für die Berechnung des Valideneinkommens ist jedoch praxisgemäss auf den IK-Auszug und auf den indexierten Durchschnitt der letzten drei Jahre abzustellen (Urteile des Bundesgerichts 8C_576/2008 vom 10. Februar 2009 E. 6.2 und 8C_9/2009 vom 10. November 2009 E. 3.5). Der Betrag aus dem Jahr 2001 ist bei der Ermittlung nicht heranzuziehen, da dieser weit unter den normalerweise erzielten Einkommen liegt. Eine Parallelisierung der Einkommen drängt sich vorliegend nicht auf, da davon auszugehen ist, dass sich die Beschwerdeführerin freiwillig mit einem tieferen Einkommen zufrieden gab (BGE 135 V 58 E. 3.1). Hingegen ist bei der Festsetzung des Invalideneinkommens aufgrund des Alters, der allenfalls noch in Teilzeit auszuübenden Verweisungstätigkeit und der gesundheitsbedingten Einschränkungen ein leidensbedingter Abzug vorzunehmen (BGE 134 V 322 E. 5.2).</w:t>
      </w:r>
    </w:p>
    <w:p>
      <w:r>
        <w:rPr>
          <w:b/>
        </w:rPr>
        <w:t>E. 8.7</w:t>
      </w:r>
    </w:p>
    <w:p>
      <w:r>
        <w:t>Die Beschwerde ist somit im Sinne der vorstehenden Erwägungen gutzuheissen und die Verfügung vom 16. Mai 2008 aufzuheben. Die Sache ist zur ergänzenden Abklärung an die Vorinstanz zurückzuweisen (Art. 61 Abs. 1 VwVG). Die Vorinstanz hat insbesondere abzuklären, in welchem Ausmass der Beschwerdeführerin die Ausübung von Verweisungstätigkeiten zumutbar ist. Anschliessend hat sie in Be­rücksichtigung der in E. 8.6 dargelegten Ausführungen den Invali­ditätsgrad zu bestimmen. Gestützt auf diese Abklärungen hat die Vor­instanz eine neue Verfügung zu erlassen.</w:t>
      </w:r>
    </w:p>
    <w:p>
      <w:r>
        <w:rPr>
          <w:b/>
        </w:rPr>
        <w:t>E. 9</w:t>
      </w:r>
    </w:p>
    <w:p>
      <w:r>
        <w:t>Zu befinden bleibt noch über die Verfahrenskosten und eine allfällige Parteientschädigung.</w:t>
      </w:r>
    </w:p>
    <w:p>
      <w:r>
        <w:rPr>
          <w:b/>
        </w:rPr>
        <w:t>E. 9.1</w:t>
      </w:r>
    </w:p>
    <w:p>
      <w:r>
        <w:t>Bei diesem Verfahrensausgang werden der obsiegenden Beschwerdeführerin und der Vorinstanz keine Verfahrenskosten auferlegt (Art. 63 Abs. 1 VwVG e contrario und Art. 63 Abs. 2 VwVG). Der bereits geleistete Kostenvorschuss von Fr. 400.-- ist der Beschwerdeführerin zurückzuerstatten.</w:t>
      </w:r>
    </w:p>
    <w:p>
      <w:r>
        <w:rPr>
          <w:b/>
        </w:rPr>
        <w:t>E. 9.2</w:t>
      </w:r>
    </w:p>
    <w:p>
      <w:r>
        <w:t>Die Beschwerdeinstanz kann der ganz oder teilweise obsiegenden Partei von Amtes wegen oder auf Begehren eine Entschädigung für ihr erwachsene notwendige und verhältnismässig hohe Kosten zusprechen (Art. 64 Abs. 1 VwVG i. V. m. Art. 7 Abs. 1 des Reglements vom 21. Feb­ruar 2008 über die Kosten und Entschädigungen vor dem Bundes­verwaltungsgericht [VGKE, SR 173.320.2]). Die Parteientschä­digung für Beschwerdeverfahren umfasst die Kosten der Vertretung so­wie allfällige weitere notwendigen Auslagen der Partei (Art. 8 VGKE). Die Entschädigung der Rechtsvertreterin der Beschwerdeführerin wird mangels Einreichung einer Kostennote unter Berücksichtigung des gebotenen und aktenkundigen Anwaltsaufwandes auf pauschal Fr. 2'200.-- (inkl. Auslagen) festgesetzt (Art. 14 VGKE) und gemäss Art. 64 Abs. 2 VwVG der Vorinstanz auferlegt. Nicht zu entschädigen ist die Mehrwertsteuer (Art. 5 Bst. b des Bundesgesetzes vom 2. Septem­ber 1999 über die Mehrwertsteuer [MWSTG, SR 641.20] i. V. m.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