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C-4133/2011 vom 29. Januar 2013</w:t>
      </w:r>
    </w:p>
    <w:p>
      <w:r>
        <w:t>Bundesverwaltungsgericht, 2013-01-29, DE</w:t>
      </w:r>
    </w:p>
    <w:p>
      <w:r>
        <w:rPr>
          <w:b/>
        </w:rPr>
        <w:t xml:space="preserve">Quelle: </w:t>
      </w:r>
      <w:r>
        <w:t>https://mcp.opencaselaw.ch/entscheid/bvger_C-4133_2011</w:t>
      </w:r>
    </w:p>
    <w:p>
      <w:r>
        <w:t>FR: TAF C-4133/2011 du 29 janvier 2013</w:t>
      </w:r>
    </w:p>
    <w:p>
      <w:r>
        <w:t>IT: TAF C-4133/2011 del 29 gennaio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2011/43 E. 6.1).</w:t>
      </w:r>
    </w:p>
    <w:p>
      <w:r>
        <w:rPr>
          <w:b/>
        </w:rPr>
        <w:t>E. 3</w:t>
      </w:r>
    </w:p>
    <w:p>
      <w:r>
        <w:t>Der angefochtenen Verfügung liegt das Gesuch einer ukrainischen Staatsangehörigen um Erteilung eines Visums für einen 12-tägigen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in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ukrainische Staatsangehörige der Visumspflicht (Anhang I zur Verordnung (EG) Nr. 539/2001 des Rates vom 15. März 2001). Bei der Prüfung der Einreisevoraussetzungen nach Art. 5 Abs. 1 SGK steht die Frage der gesicherten Wiederausreise im Vor­dergrund, welche die Vorinstanz vor allem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In der Ukraine sind zweifellos grosse Teile der Bevölkerung von schwierigen wirtschaftlichen Verhältnissen betroffen. Die dortige Volkswirtschaft ist stark erneuerungsbedürftig, und mit einem jährlichen Pro-Kopf-Einkommen von rund 3'600 USD gehört das Land in der Kategorisierung der Weltbank zu den "lower middle income"-Staaten. Zwar gelang es in den Jahren 2000 bis 2008, die Armut deutlich zu senken. Vom Wirtschaftswachstum konnten aber nicht alle Regionen gleichermassen profitieren. Nach wie vor gibt es ein starkes Einkommensgefälle zwischen der Hauptstadt Kiew und den übrigen Landesteilen. Als Folge der internationalen Wirtschafts- und Finanzkrise verzeichnete die Ukraine zudem im Jahre 2009 einen massiven Einbruch beim Wirtschaftswachstum (15%). Mit einem Wachstum von 5,2% hat das Land auch im Jahre 2011 das Ziel einer nachhaltigen wirtschaftlichen Erholung nicht erreicht. Wegen weit verbreiteter Korruption und Rechtsunsicherheit blieben ebenfalls die ausländischen Direktinvestitionen unter den Erwartungen (Quelle: http://www.auswaertiges-amt.de, Aussen- und Europapolitik &gt; Länderinformationen &gt; Ukraine &gt; Wirtschaft, Stand Oktober 2012, besucht im Dezember 2012).</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36-jährige, verheiratete Frau, die zusammen mit ihrem 13-jährigen Sohn in der Stadt Sumy wohnt. Von ihrem Ehemann ist sie gemäss Darstellung des Beschwerdeführers getrennt. In der gleichen Stadt wohnt zudem die Mutter der Gesuchstellerin. Als alleinerziehende Mutter eines Kindes in der Adoleszenz hat die Gesuchstellerin zweifellos familiäre Verpflichtungen qualifizierter Art wahrzunehmen.</w:t>
      </w:r>
    </w:p>
    <w:p>
      <w:r>
        <w:rPr>
          <w:b/>
        </w:rPr>
        <w:t>E. 6.2</w:t>
      </w:r>
    </w:p>
    <w:p>
      <w:r>
        <w:t>In beruflicher Hinsicht hat die Gesuchstellerin nach definitiver Aufgabe ihrer Erwerbstätigkeit in der Schweiz im Oktober 2010 eine Arbeit als Angestellte in einem Schönheitssalon aufgenommen. Seit Dezember 2011 ist sie als Buchhalterin in einem Anstellungsverhältnis berufstätig. Die Grundlagen für diesen Aufstieg eignete sie sich gemäss Darstellung des Beschwerdeführers mit einer Weiterbildung an, die sie berufsbegleitend absolvierte. Unter den gegebenen Umständen kann durchaus von einer erfolgreichen beruflichen Reintegration der Gesuchstellerin in ihrer Heimat seit ihrer Rückkehr dorthin ausgegangen werden. Tritt hinzu, dass das von ihr aktuell erzielte Erwerbseinkommen - gemessen am Durchschnittseinkommen in der Ukraine bzw. in der Stadt Sumy - durchaus als ansprechend bezeichnet werden kann. Deshalb und angesichts der Tatsache, dass die Gesuchstellerin in ihrer Heimat über Wohneigentum und sonstige Vermögenswerte verfügt, ist jedenfalls weder von einer wirtschaftlichen Notsituation noch auch nur von entbehrungsreichen Lebensverhältnissen auszugehen, die unmittelbar Anlass für Emigrationsabsichten geben könnten.</w:t>
      </w:r>
    </w:p>
    <w:p>
      <w:r>
        <w:rPr>
          <w:b/>
        </w:rPr>
        <w:t>E. 6.3</w:t>
      </w:r>
    </w:p>
    <w:p>
      <w:r>
        <w:t>Aus den Akten der Vorinstanz zu schliessen, war die Gesuchstellerin in einem Zeitraum von zehn Jahren in unregelmässigen Abständen als Cabaret-Tänzerin mit Bewilligungen zum Kurzaufenthalt in der Schweiz erwerbstätig. Dabei hat sie sich - wie die Vorinstanz selbst ausführt - offenbar immer an die einschlägigen ausländerrechtlichen Vorschriften gehalten. Das gilt es im vorliegenden Zusammenhang zu würdigen, hatte die Gesuchstellerin doch eine Vielzahl von Ein- und Ausreisen zu organisieren und entsprechende Fristen einzuhalten. Tritt hinzu, dass die von der Gesuchstellerin deklarierte Dauer des beabsichtigten Besuchsaufenthalts mit zwölf Tagen moderat ausfällt und sich im Rahmen der arbeitsvertraglich normalerweise zustehenden Ferienansprüche bewegen dürfte. Ausgewiesen ist auch die inzwischen schon langjährige Bekanntschaft zwischen der Gesuchstellerin und ihrem Gastgeber, dem Beschwerdeführer. In den erwähnten Umständen kann durchaus eine gewisse Gewähr dafür erblickt werden, dass über den tatsächlich beabsichtigten Zweck der Reise nicht getäuscht wird und mit einer anstandslosen und fristgerechten Wiederausreise zu rechnen ist.</w:t>
      </w:r>
    </w:p>
    <w:p>
      <w:r>
        <w:rPr>
          <w:b/>
        </w:rPr>
        <w:t>E. 6.4</w:t>
      </w:r>
    </w:p>
    <w:p>
      <w:r>
        <w:t>Diese Einschätzung ist mit den von der Vorinstanz geäusserten Beden­ken nicht ernsthaft in Frage zu stellen. Dass die Gesuchstellerin wäh­rend ihrer Aufenthalte in der Schweiz ein vergleichsweise gutes Ein­kommen erwirkt habe, beruht auf reiner Mutmassung und kann ange­sichts der tatsächlichen Verhältnisse in diesem Berufssektor nicht ohne wei­teres angenommen werden. Entsprechend ist auch die Befürchtung nicht zu teilen, wonach ein von der Gesuchstellerin konkret erlebtes Ein­kommensgefälle schon für sich allein Risiken in Bezug auf die fristge­rechte Wiederausreise nach einem Besuchsaufenthalt bergen könnte. Dass die Gesuchstellerin die Betreuung ihres Sohnes während ihrer Ar­beitstätigkeit in der Schweiz jeweils über längere Zeit organisieren konnte, heisst noch lange nicht, dass dies auch jetzt wieder möglich wäre und von ihr auch tatsächlich ausgenützt würde.</w:t>
      </w:r>
    </w:p>
    <w:p>
      <w:r>
        <w:rPr>
          <w:b/>
        </w:rPr>
        <w:t>E. 7</w:t>
      </w:r>
    </w:p>
    <w:p>
      <w:r>
        <w:t>Die aufgezeigten Verhältnisse lassen bei der Gesuchstellerin auf eine genügende Gewähr für lautere Absichten bzw. die Wahrscheinlichkeit regelkonformen Verhaltens schliessen. Auch wenn das Risiko für eine Missachtung ausländerrechtlicher Normen nie gänzlich ausgeschlossen werden kann, erscheint es vorliegend doch als gering. Es ist mit anderen Worten nicht davon auszugehen, es bestünden Hinderungsgründe dieser Art gemäss Art. 5 SGK bzw. Art. 5 AuG für die Erteilung des beantragten Visums.</w:t>
      </w:r>
    </w:p>
    <w:p>
      <w:r>
        <w:rPr>
          <w:b/>
        </w:rPr>
        <w:t>E. 8</w:t>
      </w:r>
    </w:p>
    <w:p>
      <w:r>
        <w:t>Indem die Vorinstanz den entscheidsrelevanten Sachverhalt wesentlich anders gewichtete, hat sie Bundesrecht verletzt (Art. 49 Bst. a VwVG). Die Beschwerde ist daher gutzuheissen, die angefochtene Verfügung ist aufzuheben und die Sache zur neuerlichen Beurteilung an die Vorinstanz zurückzuweisen. Dabei bleibt von der Vorinstanz zu prüfen, ob auch die übrigen in Art. 5 SGK genannten Einreisevoraussetzungen erfüllt sind.</w:t>
      </w:r>
    </w:p>
    <w:p>
      <w:r>
        <w:rPr>
          <w:b/>
        </w:rPr>
        <w:t>E. 9</w:t>
      </w:r>
    </w:p>
    <w:p>
      <w:r>
        <w:t>Entsprechend dem Ausgang des Verfahrens sind weder dem Beschwerdeführer noch der Vorinstanz Kosten aufzuerlegen (Art. 63 Abs. 1 und 2 VwVG) und der geleistete Kostenvorschuss ist zurückzuerstatten. Eine Parteientschädigung ist nicht zuzusprechen, da dem nicht anwaltlich vertretenen Beschwerdeführer zur wirksamen Verfolgung seiner Interessen im Beschwerdeverfahren vermutungsweise keine notwendigen und verhältnismäss hohen Kosten erwachsen sind (Art. 64 Abs. 1 VwVG i.V.m. Art. 7 Abs. 4 des Reglements vom 21. Februar 2008 über die Kosten und Entschädigungen vor dem Bundesverwaltungsgericht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