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C-4131/2011 vom 5. November 2012</w:t>
      </w:r>
    </w:p>
    <w:p>
      <w:r>
        <w:t>Bundesverwaltungsgericht, 2012-11-05, FR</w:t>
      </w:r>
    </w:p>
    <w:p>
      <w:r>
        <w:rPr>
          <w:b/>
        </w:rPr>
        <w:t xml:space="preserve">Quelle: </w:t>
      </w:r>
      <w:r>
        <w:t>https://mcp.opencaselaw.ch/entscheid/bvger_C-4131_2011</w:t>
      </w:r>
    </w:p>
    <w:p>
      <w:r>
        <w:t>FR: TAF C-4131/2011 du 5 novembre 2012</w:t>
      </w:r>
    </w:p>
    <w:p>
      <w:r>
        <w:t>IT: TAF C-4131/2011 del 5 novembre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 présent examen du droit à la rente est ainsi soumis, d'une part, pour la période jusqu'au 31 décembre 2007 à la teneur de la LAI selon la 4ème révision entrée en vigueur le 1er janvier 2004, vu le dépôt de la demande de rente du 25 mai 2004 qui s'est soldée par l'arrêt du Tribunal de céans du 25 avril 2008 ayant annulé la décision sur opposition du 3 juillet 2007 et requis un complément d'instruction, et, d'autre part, à la teneur de la 5ème révision de la LAI pour la période à compter du 1er janvier 2008 jusqu'à la date de la décision dont est recours, soit le 22 juin 2011 (ATF 130 V 445 et les références; voir ég. l'arrêt du Tribunal fédéral I 404/05 du 19 septembre 2006 consid. 3). Les dispositions citées ci-après sont sauf précision contraire celles en vigueur jusqu'au 31 décembre 2007 étant précisé que l'application du droit de la 5ème révision de la LAI à compter du 1er janvier 2008 ne modifie pas la notion d'invalidité, ni la manière d'évaluer le taux d'invalidité (cf. arrêt du Tribunal fédéral 9C_942/2009 du 15 mars 2010 consid. 3.1). En d'autres termes les dispositions applicables à compter du 1er janvier 2008 ne seraient pas plus favorables au recourant que celles applicables jusqu'au 31 décembre 2007, ce qui motive l'énoncé dans le présent arrêt des seules dispositions de la 4ème révision de la LAI. Les dispositions de la 6ème révision de la LAI (premier volet) en vigueur depuis le 1er janvier 2012 (RO 2011 5659, FF 2010 1647) ne sont pas applicables.</w:t>
      </w:r>
    </w:p>
    <w:p>
      <w:r>
        <w:rPr>
          <w:b/>
        </w:rPr>
        <w:t>E. 3.2</w:t>
      </w:r>
    </w:p>
    <w:p>
      <w:r>
        <w:t>Le recourant a déposé une demande de rente le 25 mai 2004. En dérogation à l'art. 24 LPGA, l'ancien art. 48 al. 2 LAI prévoit que si l'assuré présente sa demande de rente plus de douze mois après la naissance du droit, les prestations ne sont allouées que pour les douze mois précédant le dépôt de la demande. Concrètement le Tribunal peut se limiter, en l'espèce, à examiner si le recourant avait droit à une rente au plus tard rétroactivement le 25 mai 2003 (12 mois avant le dépôt de la demande) ou si le droit à une rente était né entre cette date et le 22 juin 2011, date de la décision attaquée marquant la limite dans le temps du pouvoir d'examen de l'autorité de recours (ATF 129 V 1 consid. 2.1 avec les réf.).</w:t>
      </w:r>
    </w:p>
    <w:p>
      <w:r>
        <w:rPr>
          <w:b/>
        </w:rPr>
        <w:t>E. 4</w:t>
      </w:r>
    </w:p>
    <w:p>
      <w:r>
        <w:t>Selon les normes en vigueur jusqu'au 31 décembre 2007, tout requérant, pour avoir droit à une rente de l'assurance-invalidité suisse, doit remplir cumulativement les conditions suivantes lors du dépôt de la demande : - être invalide au sens de la LPGA et de la LAI (art. 8 LPGA, 4, 28, 29 al. 1 LAI); -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Antérieurement au 1er janvier 2004 le seuil de 40% était également applicable pour l'octroi d'un quart de rente et la loi prévoyait une demi-rente pour un taux de 50% et une rente entière dès un taux d'invalidité de 662/3%. Toutefois les rentes correspondant à un degré d'invalidité inférieur à 50% ne sont versées qu'aux assurés qui ont leur domicile et leur rési­dence habituelle en Suisse (art. 28 al. 1ter LAI).</w:t>
      </w:r>
    </w:p>
    <w:p>
      <w:r>
        <w:rPr>
          <w:b/>
        </w:rPr>
        <w:t>E. 5.3</w:t>
      </w:r>
    </w:p>
    <w:p>
      <w:r>
        <w:t>Depuis l'entrée en vigueur des Accords sur la libre circulation des personnes, les ressortissants de l'Union européenne et les ressortissants suisses, qui présentent un degré d'invalidité de 40% au moins, ont droit à un quart de rente en application de l'art. 28 al. 1 LAI à partir du 1er juin 2002 s'ils ont leur domicile et leur résidence habituelle dans un Etat membre de l'UE.</w:t>
      </w:r>
    </w:p>
    <w:p>
      <w:r>
        <w:rPr>
          <w:b/>
        </w:rPr>
        <w:t>E. 5.4</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5.5</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22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w:t>
      </w:r>
    </w:p>
    <w:p>
      <w:r>
        <w:rPr>
          <w:b/>
        </w:rPr>
        <w:t>E. 5.6</w:t>
      </w:r>
    </w:p>
    <w:p>
      <w:r>
        <w:t>Une incapacité de travail de 20% doit être prise en compte pour le calcul de l'incapacité de travail moyenne selon l'art. 29 al. 1 let. b LAI (cf. chiffre marginal 2016 de la Circulaire concernant l'invalidité et l'im­potence dans sa version applicable au 31 décembre 2007; Jurispru­dence et pratique administrative des autorités d'exécution de l'AVS/AI [Pratique VSI] 1998 p. 126 consid. 3c).</w:t>
      </w:r>
    </w:p>
    <w:p>
      <w:r>
        <w:rPr>
          <w:b/>
        </w:rPr>
        <w:t>E. 6.1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ATF 115 V consid. 2, ATF 114 V 314 consid. 3c, ATF 105 V 158 consid. 1; RCC 1991 p. 331 consid. 1c).</w:t>
      </w:r>
    </w:p>
    <w:p>
      <w:r>
        <w:rPr>
          <w:b/>
        </w:rPr>
        <w:t>E. 6.2</w:t>
      </w:r>
    </w:p>
    <w:p>
      <w:r>
        <w:t>En l'espèce, l'intéressé a travaillé en dernier lieu en France comme agent polyvalent affecté à des travaux d'entretien de surfaces (bâtiments, parcs, voirie) pour une commune sans incapacité de travail notoire jusqu'à son accident du 21 février 2001. Dans les rapports médicaux établis par les médecins consultés par le recourant, il est notamment fait état de status post atteintes diverses d'ordre somatique et d'atteintes d'ordre psychique. Les médecins requis pour expertise et les médecins de l'OAIE ont dans une certaine mesure confirmé ces atteintes.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8</w:t>
      </w:r>
    </w:p>
    <w:p>
      <w:r>
        <w:t>Le Tribunal de céans a annulé par arrêt du 25 avril 2008 la décision sur opposition du 3 juillet 2007 - qui avait remplacé (cf. ATF 125 V 118 consid. 2a) et confirmé celle du 20 octobre 2005 - du fait que l'instruction n'avait pas permis d'établir la capacité de travail résiduelle de l'intéressé depuis son accident du travail du 21 février 2001 au 3 juillet 2007. La décision du 20 octobre 2005 n'est donc pas entrée en force contrairement à ce qu'énonce l'expertise du CEMed du 31 mars 2011 (pce 125, p. 21 s.) et la décision dont est recours du 22 juin 2011. Vu la prémisse erronée de l'entrée en force de la décision du 20 octobre 2005, l'expertise du CEMed du 31 mars 2011 ne s'est pas prononcée sur la capacité de travail de l'intéressé avant le 20 octobre 2005. Partant le Tribunal de céans ne peut examiner le recours que dans la mesure du bien fondé de la décision de l'OAIE quant à la capacité de travail résiduelle de l'intéressé depuis le 20 octobre 2005 jusqu'à la date de la décision attaquée du 22 juin 2011. Les pièces au dossier ne permettent en effet pas de valider la capacité de travail résiduelle retenue par la décision sur opposition du 3 juillet 2007 qui a été entretemps annulée. Par ailleurs le rapport d'expertise psychiatrique du 31 mars 2011 ne discute aucunement les atteintes à la santé d'ordre psychique de l'intéressé (ces atteintes sont in casu déterminantes) durant les années 2002 à 2006 outre de mentionner le diagnostic posé en septembre et octobre 2003 de syndrome dépressif sévère post-commotionnel (atteinte remontant dans une moindre mesure à février 2002) et le fait que l'intéressé n'a plus suivi de traitement psychiatrique depuis 2006. Selon la jurisprudence une autorité judiciaire statuant avant le Tribunal fédéral doit autant que possible éviter de se prononcer matériellement s'agissant du droit à la rente sur une période ultérieure (in casu à compter du 20 octobre 2005) à une période préalable contestée (in casu de mars 2003 à novembre 2005). Si elle choisit quand même de se prononcer sur la période ultérieure à la première contestée, elle ne pourra pas rendre une décision partielle mais uniquement une décision incidente (ATF 135 V 148 consid. 5). Cette jurisprudence se fonde notamment sur le fait que l'examen du droit à des prestations dans une période initiale peut éventuellement mettre à jour des éléments nouveaux qui remettraient en question le jugement portant sur la période ultérieure (voir ég. arrêt du Tribunal de céans C-5110/2007 du 16 octobre 2009 consid. 9.2.3.4). Vu ce qui précède, il se justifie de renvoyer le dossier à l'administration afin qu'elle rende une nouvelle décision intégrant l'examen du droit à la rente de mai 2003 au 22 juin 2011 suite au complément d'instruction nécessité par la prémisse erronée de la décision attaquée du 22 juin 2011.</w:t>
      </w:r>
    </w:p>
    <w:p>
      <w:r>
        <w:rPr>
          <w:b/>
        </w:rPr>
        <w:t>E. 9.1</w:t>
      </w:r>
    </w:p>
    <w:p>
      <w:r>
        <w:t>Le recourant ayant eu partiellement gain de cause du fait d'un renvoi de la cause à l'autorité inférieure pour complément d'instruction, il n'est pas perçu de frais de procédure (art. 63 PA), partant sa demande d'assistance judiciaire devient sans objet.</w:t>
      </w:r>
    </w:p>
    <w:p>
      <w:r>
        <w:rPr>
          <w:b/>
        </w:rPr>
        <w:t>E. 9.2</w:t>
      </w:r>
    </w:p>
    <w:p>
      <w:r>
        <w:t>Le recourant ayant agi en s'étant fait représenter, il lui est alloué une indemnité globale de dépens de 2'500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