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C-4128/2013 vom 24. September 2014</w:t>
      </w:r>
    </w:p>
    <w:p>
      <w:r>
        <w:t>Bundesverwaltungsgericht, 2014-09-24, FR</w:t>
      </w:r>
    </w:p>
    <w:p>
      <w:r>
        <w:rPr>
          <w:b/>
        </w:rPr>
        <w:t xml:space="preserve">Quelle: </w:t>
      </w:r>
      <w:r>
        <w:t>https://mcp.opencaselaw.ch/entscheid/bvger_C-4128_2013</w:t>
      </w:r>
    </w:p>
    <w:p>
      <w:r>
        <w:t>FR: TAF C-4128/2013 du 24 septembre 2014</w:t>
      </w:r>
    </w:p>
    <w:p>
      <w:r>
        <w:t>IT: TAF C-4128/2013 del 24 settembre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et Y._______, qui ont pris part à la procédure devant l'auto­rité inférieure,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301ch. 2.2.6.5). Dans son arrêt, elle prend en considération l'état de fait ré­gnant au moment où elle statue (cf. ATAF 2013/33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3469, ch. 1.2.6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arrêt du TAF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arrêt du TAF C-5953/2013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Du fait qu'elle est une ressortissante camerounaise, E._______ est soumise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l'ODM a refusé d'autoriser l'entrée en Suisse d'E._______ au motif notamment que son départ à l'échéance du visa sollicité n'apparaissait pas suffisamment assuré.</w:t>
      </w:r>
    </w:p>
    <w:p>
      <w:r>
        <w:rPr>
          <w:b/>
        </w:rPr>
        <w:t>E. 6.1</w:t>
      </w:r>
    </w:p>
    <w:p>
      <w:r>
        <w:t>In casu, le TAF ne saurait d'emblée écarter les craintes émises par l'autorité intimée, au vu de la situation qui prévaut au Cameroun sur les plans social et économique. A ce sujet, il faut prendre en considération la qualité de vie et les condi­tions économiques particulières que connaît l'ensemble de la population du Cameroun, où le produit intérieur brut (PIB) par habitant ne s'élevait qu'à 1'268 USD en 2013. Par comparaison, le PIB par habitant était de plus de 75'000 USD pour l'année 2012 en Suisse. En février 2008, le Cameroun a connu les "émeutes de la faim" et le coût des denrées de première nécessité demeure aujourd'hui encore une préoccupation ma­jeure de la population camerounaise. Le revenu par habitant n'a en outre quasiment pas progressé depuis 5 ans. Si le pays a certes renoué avec la croissance, il convient également de relever que 39% de la population vit encore sous le seuil de pauvreté. Ainsi, la situation économique du Cameroun (dont la croissance est structurellement insuffisante et dont la production agro-alimentaire peine à suivre l'augmentation de la demande locale dans la mesure où la population camerounaise croît de plus de 400'000 habitants chaque année) entraîne inévitablement une forte pression migratoire (sources : le site internet du Ministère français des Affaires étrangères, &lt; https://www.diplomatie.gouv.fr/dossiers-pays/ Cameroun/présentation_du_Cameroun/présentation/données_générales/politique_intérieure/situation_économique &gt;, mis à jour le 26 mai 2014; le site internet de la Banque mondiale, &lt; https://www. banquemondiale.org/données/par_pays/Cameroun &gt;, état 2014; le site internet de l'Office fédéral de la statistique, &lt; https://www.bfs. admin.ch/les_thèmes_statistiques/04-économie_nationale/comptes_na-tionaux/produit_intérieur_brut/PIB_par_habitant &gt;, état 2014, chacun de ces sites ayant été consultés en juillet 2014). Cette tendance migratoire est encore renforcée, comme l'expérience l'a démontré, lorsque les personnes concernées peuvent s'appuyer à l'étranger sur un réseau social (parents, amis) préexistant, comme cela est le cas en l'espèce par la présence de la fille de l'intéressée dans le canton de Vaud (cf. lettre d'invitation du 22 avril 2013).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C-2942/2013 du 17 février 2014 consid. 5.2, et réf. citée).</w:t>
      </w:r>
    </w:p>
    <w:p>
      <w:r>
        <w:rPr>
          <w:b/>
        </w:rPr>
        <w:t>E. 6.2</w:t>
      </w:r>
    </w:p>
    <w:p>
      <w:r>
        <w:t>Il convient dès lors d'examiner si, en l'état, la situation personnelle, fa­miliale et patrimoniale d'E._______ plaide en faveur de sa sortie ponctuelle de Suisse, respectivement de l'Espace Schengen, à l'expira­tion de son visa, compte tenu par ailleurs du but du séjour qu'elle envi­sage d'effectuer en Suisse.</w:t>
      </w:r>
    </w:p>
    <w:p>
      <w:r>
        <w:rPr>
          <w:b/>
        </w:rPr>
        <w:t>E. 6.2.1</w:t>
      </w:r>
    </w:p>
    <w:p>
      <w:r>
        <w:t>En l'occurrence, il ressort des renseignements qui ont été communi­qués aux autorités suisses que l'intéressée, âgée actuellement d'un peu plus de 45 ans et demi, est célibataire et mère de trois enfants, dont l'un, une fille, est mineur. Sur le plan professionnel, E._______ travaille dans une station-service dont elle est la gérante depuis 10 ans. Proprié­taire de sa propre maison d'habitation, l'intéressée possède également un terrain à Yaoundé et est sur le point d'en acquérir un autre. En dehors de ses trois enfants, dont un seul est encore mineur, E._______ n'a pas d'autres responsabilités ou charges familiales dans son pays d'origine. Il est du reste à relever que les deux premiers enfants de l'intéressée, qui sont âgés actuellement de 27 et 25 ans, doivent pouvoir vivre de manière pratiquement indépendante. Certes, la présence au Cameroun de trois enfants constitue une attache familiale importante qui, a priori, parle en faveur du retour de l'intéressée dans ce pays à la fin du séjour projeté. Il sied cependant de constater, au vu de l'expérience géné­rale, que de tels liens, comme les autres relations familiales et sociales qu'E._______ y entretient, sont parfois insuffisants pour inciter une personne à retourner dans sa patrie, notamment au regard de perspec­tives plus favorables à l'étranger. Il ne faut pas perdre de vue à cet égard que la qualité de vie et la situation socio-économique prévalant en Suisse sont autant de facteurs susceptibles d'inciter l'intéressée, une fois arrivée en ce pays, à y entreprendre, cas échéant par l'intermédiaire de sa fille ou de sa belle-famille auxquelles elle souhaite rendre visite, les formalités nécessaires en vue d'y prolonger son séjour, notamment dans le but d'y prendre un emploi, tout en envisageant de se faire ensuite rejoindre sur territoire helvétique par ses enfants, tout au moins par sa fille mineure. Au demeurant, le souhait d'E._______ d'effectuer un séjour de visite fa­miliale en Suisse pendant une période équivalente, selon les indications mentionnées dans le recours (cf. p. 3 de l'acte de recours), à deux mois tout en laissant ses trois enfants au Cameroun, tend au contraire à dé­montrer que ces derniers ont déjà acquis une réelle autonomie et que les liens avec son pays d'origine ne sont pas aussi étroits qu'elle ne le pré­tend, ce qui conforte les doutes formulés par les autorités helvétiques sur l'effectivité de son départ de Suisse à l'échéance du visa requis.</w:t>
      </w:r>
    </w:p>
    <w:p>
      <w:r>
        <w:rPr>
          <w:b/>
        </w:rPr>
        <w:t>E. 6.2.2</w:t>
      </w:r>
    </w:p>
    <w:p>
      <w:r>
        <w:t>En outre, le fait qu'E._______ soit gérante d'une station-service dans son pays et y soit propriétaire de biens immobiliers n'est pas davan­tage susceptible de représenter un facteur déterminant dans l'appré­ciation du cas. Il ne faut pas en effet perdre de vue que la Suisse connaît un niveau de vie sensiblement supérieur à celui du Cameroun et que cette circonstance peut s'avérer décisive lorsqu'une personne prend la décision de quitter définitivement sa patrie. Dans ce contexte, outre le fait que le montant du revenu réalisé par E._______ en tant que gérante d'une station-service n'est pas connu - revenu qualifié au demeurant de "petit" par la Représentation de Suisse à Yaoundé dans les informations dont elle a donné communication à l'ODM lors de la transmission du dossier de l'intéressée (cf. transmission de ladite Représentation du 23 mai 2013) - , l'on ne décèle du reste aucun élément dans le dossier permettant de conclure que la situation matérielle de cette dernière se trouverait péjorée si elle prenait la décision de demeurer sur territoire helvétique à l'expiration de son visa dans le but d'y occuper un emploi.</w:t>
      </w:r>
    </w:p>
    <w:p>
      <w:r>
        <w:rPr>
          <w:b/>
        </w:rPr>
        <w:t>E. 6.2.3</w:t>
      </w:r>
    </w:p>
    <w:p>
      <w:r>
        <w:t>En ce qui concerne le séjour temporaire qu'E._______ a effec­tué en Afrique du Sud en 2010 pour raisons professionnelles et le voyage d'affaires que cette dernière a entrepris au Bénin en 2008, de tels dépla­cements visaient un autre but que celui poursuivi dans le cadre de la pré­sente demande de visa (visite familiale). D'autre part, en tant que les cir­constances exactes dans lesquelles est intervenu chacun des voyages ainsi accomplis sur le continent africain ne sont pas connues des autori­tés suisses, les deux séjours à l'étranger que l'intéressée a effectués de la sorte ne sauraient être considérés comme un gage de sortie de l'Espace Schengen à l'échéance du visa requis dans le cadre de la pré­sente procédure. Au demeurant, il importe de rappeler que chaque de­mande de visa fait l'objet d'un examen individualisé et actualisé, qui tient compte de l'ensemble des particularités du cas (cf. consid. 5 et 6.1 supra; voir également l'arrêt du TAF C-1742/2012 du 21 septembre 2012consid. 6.2). Or, en l'espèce, l'examen des pièces du dossier ne permet pas de considérer que le retour d'E._______ au Cameroun à l'échéance du visa requis soit suffisamment garanti, au vu des éléments d'information communiqués au sujet de sa situation personnelle actuelle et des conditions de vie prévalant dans son pays d'origine.</w:t>
      </w:r>
    </w:p>
    <w:p>
      <w:r>
        <w:rPr>
          <w:b/>
        </w:rPr>
        <w:t>E. 6.2.4</w:t>
      </w:r>
    </w:p>
    <w:p>
      <w:r>
        <w:t>Dans leur recours, X._______ et Y._______ ont d'autre part relevé qu'ils avaient pu obtenir, au cours de l'année 2003, un visa de tourisme en faveur d'un réfugié tibétain vivant en Inde et accueillir ainsi ce dernier en Suisse pendant une période de trois mois, à l'issue de laquelle ladite personne était repartie dans son pays d'adoption. Il importe cependant de souligner à ce sujet que, pour se prononcer sur les demandes de visas, les autorités fondent leur appréciation essentiellement sur la situation individuelle des requérants et sur celle prévalant dans leur Etat d'origine ou de provenance au moment de statuer, en sorte que certains ressor­tissants étrangers sont susceptibles d'obtenir délivrance d'un visa, sans qu'il en aille nécessairement de même pour d'autres ressortissants étran­gers. Le fait que la mère d'E._______ ait, selon l'allégation formulée par X._______ et Y._______ dans leur opposition écrite du 22 mai 2013, été mise au bénéfice d'un visa d'entrée en Suisse au cours de l'année 2007 ne saurait, pour ces motifs également, avoir une incidence détermi­nante sur l'examen de la demande de visa déposée par l'intéressée (cf. notamment arrêt du TAF C-3737/2013 du 21 juin 2014 consid. 6.2). Dans ce contexte, il sied également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la lettre d'invitation des re­courants du 22 avril 2013 et leur opposition écrite du 22 mai 2013).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l'intéressée, une fois en Suisse, ne tente d'y poursuivre durablement son existence, cette dernière conservant seule la maîtrise de son comportement. Le fait que les recou­rants se proposent de verser aux autorités suisses une caution financière dont la restitution n'interviendrait qu'après le départ d'E._______ du territoire helvétique (cf. pp. 2 et 3 de l'acte de recours) n'est point susceptible de modifier l'analyse qui précède.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7.1</w:t>
      </w:r>
    </w:p>
    <w:p>
      <w:r>
        <w:t>Par surabondance, il convient encore de relever qu'un refus d'auto­risation d'entrée en Suisse prononcé par les autorités helvétiques n'a pas en l'occurrence pour conséquence d'empêcher tant E._______ que sa fille vivant en Suisse et la belle-famille de l'intéressée de se voir, ces der­niers pouvant tout aussi bien se rencontrer hors de Suisse, notamment au Cameroun.</w:t>
      </w:r>
    </w:p>
    <w:p>
      <w:r>
        <w:rPr>
          <w:b/>
        </w:rPr>
        <w:t>E. 7.2</w:t>
      </w:r>
    </w:p>
    <w:p>
      <w:r>
        <w:t>Par ailleurs, E._______ et ses hôtes n'ont pas invoqué de motifs susceptibles de justifier la délivrance en faveur de l'intéressée d'un visa à validité territoriale limitée (visa VTL; cf. consid. 4.2 supra).</w:t>
      </w:r>
    </w:p>
    <w:p>
      <w:r>
        <w:rPr>
          <w:b/>
        </w:rPr>
        <w:t>E. 8</w:t>
      </w:r>
    </w:p>
    <w:p>
      <w:r>
        <w:t>Sans pour autant minimiser l'importance des raisons d'ordre affectif qui motivent sa demande, le TAF ne saurait admettre, au vu de l'ensemble des éléments du dossier, que le retour d'E._______ dans sa patrie au terme de l'autorisation requise puisse être considéré comme suffi­samment assuré. Les conditions d'entrée prévues par le code frontières Schengen concernant la garantie qu'E._______ quittera la Suisse dans le délai fixé n'étant pas remplies in casu, c'est donc de manière fon­dée que l'ODM a écarté l'opposition du 22 mai 2013 et confirmé le refus d'octroyer à l'intéressée une autorisation d'entrée dans l'Espace Schengen.</w:t>
      </w:r>
    </w:p>
    <w:p>
      <w:r>
        <w:rPr>
          <w:b/>
        </w:rPr>
        <w:t>E. 9</w:t>
      </w:r>
    </w:p>
    <w:p>
      <w:r>
        <w:t>Il s'ensuit que, par sa décision du 20 juin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