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C-4116/2013 vom 15. September 2015</w:t>
      </w:r>
    </w:p>
    <w:p>
      <w:r>
        <w:t>Bundesverwaltungsgericht, 2015-09-15, FR</w:t>
      </w:r>
    </w:p>
    <w:p>
      <w:r>
        <w:rPr>
          <w:b/>
        </w:rPr>
        <w:t xml:space="preserve">Quelle: </w:t>
      </w:r>
      <w:r>
        <w:t>https://mcp.opencaselaw.ch/entscheid/bvger_C-4116_2013</w:t>
      </w:r>
    </w:p>
    <w:p>
      <w:r>
        <w:t>FR: TAF C-4116/2013 du 15 septembre 2015</w:t>
      </w:r>
    </w:p>
    <w:p>
      <w:r>
        <w:t>IT: TAF C-4116/2013 del 15 settembre 2015</w:t>
      </w:r>
    </w:p>
    <w:p>
      <w:pPr>
        <w:pStyle w:val="Heading2"/>
      </w:pPr>
      <w:r>
        <w:t>Regeste</w:t>
      </w:r>
    </w:p>
    <w:p>
      <w:r>
        <w:t>suite à la dissolution de la famille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2ème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(cf. art. 85 al. 1 let. a et b et art. 86 al. 1 de l'ordonnance du 24 octobre 2007 relative à l'admission, au séjour et à l'exercice d'une activité lucrative [OASA, RS 142.201]). Ainsi, l'art. 86 al. 2 let. c ch. 2 OASA prévoit que le SEM refuse d'approuver le renouvellement d'une autorisation de séjour lorsque les conditions d'admission ne sont plus remplies. En l'occurrence, la compétence décisionnelle appartient à la Confédération en vertu des règles de procédure précitées (cf. en particulier l'art. 85 al. 3 OASA et, à ce sujet également, l'arrêt du Tribunal fédéral 2C_146/2014 du 30 mars 2015 [destiné à la publication], consid. 4). Il s'ensuit que ni le Tribunal, ni le SEM ne sont liés par la proposition du Service cantonal du 13 février 2012 de renouveler l'autorisation de séjour d'A._______ et peuvent donc parfaitement s'écarter de l'appréciation faite par cette dernière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2 al. 2, la LEtr n'est pas applicable aux ressortissants des Etats membres de la Communauté européenne (CE), aux membres de leur famille et aux travailleurs détachés que si l'ALCP n'en dispose pas autrement ou si ladite loi prévoit des dispositions plus favorables.</w:t>
      </w:r>
    </w:p>
    <w:p>
      <w:r>
        <w:rPr>
          <w:b/>
        </w:rPr>
        <w:t>E. 5</w:t>
      </w:r>
    </w:p>
    <w:p>
      <w:r>
        <w:t>Dans un premier temps, il convient de préciser que la recourante ne peut tirer aucun droit de l'ALCP en raison de son mariage avec B._______, ressortissant portugais au bénéfice d'une autorisation d'établissement (CE/AELE) dans le canton de Neuchâtel, puisque le couple ne fait plus ménage commun depuis sa séparation intervenue en octobre 2008.</w:t>
      </w:r>
    </w:p>
    <w:p>
      <w:r>
        <w:rPr>
          <w:b/>
        </w:rPr>
        <w:t>E. 6</w:t>
      </w:r>
    </w:p>
    <w:p>
      <w:r>
        <w:t>La recourante disposant de la garde de sa fille C._______, née le 19 avril 2006, ressortissante du Portugal (cf. certificat de famille du 8 août 2007 ; dossier cantonal), il convient en premier lieu d'examiner sa situation sous l'angle de l'ALCP.</w:t>
      </w:r>
    </w:p>
    <w:p>
      <w:r>
        <w:rPr>
          <w:b/>
        </w:rPr>
        <w:t>E. 6.1</w:t>
      </w:r>
    </w:p>
    <w:p>
      <w:r>
        <w:t>Se basant sur la jurisprudence de la Cour de Justice des communautés européennes (CJCE ; devenue entre-temps la Cour de Justice de l'Union européenne [CJUE]), le Tribunal fédéral a reconnu qu'une personne ayant la nationalité d'un Etat membre de l'Union européenne pouvait se prévaloir du droit de séjour sans activité lucrative conféré par l'art. 24 Annexe I ALCP, à condition qu'elle dispose de moyens d'existence suffisants, peu importe leur provenance (cf. ATF 135 II 265 consid. 3.3 ; cf. également les arrêts du Tribunal administratif fédéral C-1091/2013 du 20 août 2015 consid. 5.2s. et C-4971/2011 du 5 juillet 2013 consid. 6.2). S'agissant d'un enfant de nationalité européenne, ses ressources peuvent notamment être fournies par le parent qui en a la garde. A cet égard, la CJUE a considéré que le droit de l'Union européenne permettait au parent qui a effectivement la garde d'un ressortissant européen mineur en bas âge et qui dispose de ressources suffisantes, de séjourner avec son enfant sur le territoire de l'Etat membre d'accueil (sur cette question, cf. arrêt du 19 octobre 2004 Zhu et Chen, affaire C-200/02, Recueil de jurisprudence [Rec.], p. I-9951ss), jurisprudence reprise par le Tribunal fédéral (cf. ATF 139 II 393 consid. 4.2.5 ; cf. également les arrêts du Tribunal fédéral 2C_470/2014 du 29 janvier 2015 consid. 3.3, 2C_606/2013 du 4 avril 2014 consid. 3.2, 2C_253/2012 du 11 janvier 2013 consid. 4, 2C_190/2011 du 23 novembre 2011 consid. 4.2 et 2C_574/2010 du 15 novembre 2010 consid. 2.2 ; cf. en outre Gaëtan Blaser, in : C. Amarelle / M. S. Nguyen [éd.], Code annoté de droit des migrations, Vol. III : Accord sur la libre circulation des personnes [ALCP], Berne 2014, nos 20 ss ad art. 6 ALCP). Dans l'argumentation de son arrêt, la CJUE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il était clair que la jouissance du droit de séjour par un enfant en bas âge implique nécessairement que cet enfant ait le droit d'être accompagné par la personne assurant effectivement sa garde et, dès lors, que cette personne soit en mesure de résider avec lui dans l'Etat membre d'accueil pendant ce séjour (cf. arrêt Zhu et Chen précité, point 45).</w:t>
      </w:r>
    </w:p>
    <w:p>
      <w:r>
        <w:rPr>
          <w:b/>
        </w:rPr>
        <w:t>E. 6.2</w:t>
      </w:r>
    </w:p>
    <w:p>
      <w:r>
        <w:t>En l'espèce, l'enfant C._______ étant citoyenne d'un Etat membre de l'Union européenne, ses ressources financières peuvent lui être fournies par le parent qui en a la garde, à savoir par sa mère, A._______. Il convient par conséquent d'examiner si cette dernière dispose de moyens d'existence suffisants.</w:t>
      </w:r>
    </w:p>
    <w:p>
      <w:r>
        <w:rPr>
          <w:b/>
        </w:rPr>
        <w:t>E. 6.2.1</w:t>
      </w:r>
    </w:p>
    <w:p>
      <w:r>
        <w:t>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Selon l'art. 16 al. 1 de l'ordonnance sur l'introduction de la libre circulation des personnes du 22 mai 2002 (OLCP ; RS 142.203), ces moyens sont considérés comme suffisants s'ils dépassent les prestations d'assistance qui seraient alloués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requérante, que cette dernière génère elle-même ses moyens financiers ou que ceux-ci lui soient procurés par un tiers (cf. ATF 135 II précité, ibid.).</w:t>
      </w:r>
    </w:p>
    <w:p>
      <w:r>
        <w:rPr>
          <w:b/>
        </w:rPr>
        <w:t>E. 6.2.2</w:t>
      </w:r>
    </w:p>
    <w:p>
      <w:r>
        <w:t>En l'occurrence, à l'analyse du dossier, il ressort qu'A._______ est au bénéfice, depuis le 1er janvier 2011, d'un contrat de travail de durée indéterminée conclu avec Z._______, employeur pour lequel elle travaille à temps partiel, soit à 80 % environ en moyenne annuelle (cf. contrat de travail ; dossier cantonal). Son employeur lui a versé, pour la période s'étendant d'avril 2014 à mai 2015, des salaires mensuels variant entre 3'250 francs (mai 2014) et 3'522 francs (janvier 2015), allocation pour enfant incluse (cf. bulletins de salaire produits le 5 juin 2015). Si l'on tient compte du treizième salaire qui a été versé au mois de décembre 2014 (3'428 francs), la recourante a ainsi réalisé, durant la période considérée, un revenu mensuel moyen net s'élevant à 3'593 francs (50'304 francs/14 mois). Du côté des charges, A._______ s'acquitte d'un loyer de 840 francs par mois (cf. contrat de bail produit le 3 juillet 2015) et de primes d'assurance-maladie pour un montant de 500 francs (402 francs pour elle-même et 98 francs pour l'enfant C._______ [cf. polices d'assurance produites le 3 juillet 2015]), portant ainsi le total des charges à 1'340 francs, auxquelles il faut encore ajouter le forfait pour une famille monoparentale avec un enfant selon les normes CSIAS, soit 1509 francs (montant recommandé à partir de l'année 2015 [cf. let. B chiffre 2.2]). Il y a donc lieu de considérer que la recourante dispose d'un budget mensuel moyen excédentaire d'environ 744 francs (3'593 francs - 2'849 francs).</w:t>
      </w:r>
    </w:p>
    <w:p>
      <w:r>
        <w:rPr>
          <w:b/>
        </w:rPr>
        <w:t>E. 6.3</w:t>
      </w:r>
    </w:p>
    <w:p>
      <w:r>
        <w:t>Au regard de ce qui précède, le Tribunal est amené à constater qu'en raison de la stabilité professionnelle dont jouit A._______, qui oeuvre pour le même employeur depuis plus de quatre ans et demi (cf. attestation de son employeur datée du 28 mai 2015, pièce produite le 5 juin 2015), celle-ci dispose de moyens financiers suffisants pour assumer les charges de son ménage et, partant, pour assurer son indépendance financière et celle de sa fille. A ce titre, il sied de mettre en exergue le fait que la recourante ne bénéficie plus de l'aide sociale depuis le 30 avril 2011 (cf. attestation délivrée le 11 avril 2011 par l'Office communal de l'aide sociale de La Chaux-de-Fonds ; pièce figurant au dossier cantonal) et qu'elle n'a aucune dette (cf. extrait du registre des poursuites établi le 1er juillet 2015 par l'Office de poursuites de son lieu de domicile ; pièce produite le 3 juillet 2015). Par ailleurs, aucun élément ne laisse à penser qu'il faille craindre une détérioration subite et prochaine de la situation professionnelle et, partant, économique de la recourante. Au contraire, cette dernière a annoncé au Tribunal qu'elle va entreprendre, en août 2015, une formation d'aide en soins et accompagnement d'une durée de deux ans, à raison d'un jour de cours par semaine (cf. attestation de son employeur datée du 28 mai 2015 ; pièce produite le 5 juin 2015). Aussi pareil élément devrait-il contribuer à améliorer sensiblement sa situation financière et sa position sur le marché de l'emploi. Force est donc d'admettre que les moyens financiers de l'enfant C._______ doivent être considérés comme suffisants au regard des art. 24 par. 1 et 2 Annexe I ALCP et 16 al. 1 OLCP, si bien que l'on ne saurait remettre en cause son droit à l'octroi d'un titre de séjour sur la base de l'ALCP. Il s'ensuit que sa mère, A._______, détentrice du droit de garde, doit se voir reconnaître un droit (dérivé) à séjourner en Suisse à ses côtés.</w:t>
      </w:r>
    </w:p>
    <w:p>
      <w:r>
        <w:rPr>
          <w:b/>
        </w:rPr>
        <w:t>E. 7</w:t>
      </w:r>
    </w:p>
    <w:p>
      <w:r>
        <w:t>Le recours est en conséquence admis et la décision attaquée annulée. L'octroi d'une autorisation de séjour en faveur d'A._______ est approuvé. Cela étant, dans la mesure où il est donné suite à la conclusion de la recourante en tant qu'elle vise à lui accorder une autorisation de séjour en application de l'ALCP (cf. mémoire de recours, ch. 12ss, et observations du 15 septembre 2014), il n'est point nécessaire d'analyser le cas d'espèce sous l'angle des art. 8 CEDH et 50 LEtr.</w:t>
      </w:r>
    </w:p>
    <w:p>
      <w:r>
        <w:rPr>
          <w:b/>
        </w:rPr>
        <w:t>E. 8.1</w:t>
      </w:r>
    </w:p>
    <w:p>
      <w:r>
        <w:t>Obtenant gain de cause, la recourante n'a pas à supporter de frais de procédure (cf. art. 63 al. 1 a contrario PA), pas plus que l'autorité qui succombe (cf. art. 63 al. 2 PA).</w:t>
      </w:r>
    </w:p>
    <w:p>
      <w:r>
        <w:rPr>
          <w:b/>
        </w:rPr>
        <w:t>E. 8.2</w:t>
      </w:r>
    </w:p>
    <w:p>
      <w:r>
        <w:t>Par ailleurs, la recourante a droit à des dépens (cf. art. 62 al. 1 PA en relation avec l'art. 7 du règlement du 21 février 2008 concernant les frais, dépens et indemnités fixés par le Tribunal administratif fédéral [FITAF, RS 173.320.2]). Conformément à l'art. 10 al. 1 FITAF, les honoraires d'avocat doivent être calculés en fonction du temps nécessaire à la défense de la partie représentée. L'autorité appelée à fixer les dépens sur la base d'une note de frais ne saurait se contenter de s'y référer sans plus ample examen ; il lui appartient, au contraire, de vérifier si et dans quelle mesure les opérations qui y sont indiquées se sont avérées nécessaires à la représentation de la partie (cf. André Moser et Al., op. cit., n° 1180ss). Au regard des termes "nécessaires" et relativement "élevés" utilisés par le législateur, l'autorité concernée jouit d'une certaine latitude de jugement (cf. arrêts du Tribunal fédéral 2C_846/2013 du 28 avril 2014 consid. 3.3 et 2C_802/2013 du 28 avril 2014 consid. 3.1, et la jurisprudence citée).</w:t>
      </w:r>
    </w:p>
    <w:p>
      <w:r>
        <w:rPr>
          <w:b/>
        </w:rPr>
        <w:t>E. 8.3</w:t>
      </w:r>
    </w:p>
    <w:p>
      <w:r>
        <w:t>En l'espèce, le mandataire de la recourante a adressé au Tribunal, par courrier du 15 septembre 2014, une note d'honoraires s'élevant à 3'991.70 francs, correspondant à 12 heures d'activité à 280 francs de l'heure (3'360 francs), plus les débours (336 francs) et la TVA (295.70 francs). A cet égard, il sied d'observer que le travail du représentant de la recourante a consisté pour l'essentiel dans la rédaction du mémoire de recours du 18 juillet 2013 (quatorze pages), d'une lettre du 27 septembre 2013 (deux pages), d'une réplique du 10 décembre 2013 (deux pages), d'une correspondance du 27 août 2014 (une page), des observations du 15 septembre 2014 (deux pages), ainsi que dans la transmission de renseignements les 2 mai 2014, 5 juin et 3 juillet 2015 relatifs à l'évolution de la situation de l'intéressée ; deux autres brèves correspondances, comprenant une page chacune, ont également été versées au dossier les 4 novembre et 1er décembre 2014. Même en tenant compte des deux conférences et d'autres écrits mentionnés dans le décompte du 15 septembre 2014, le Tribunal considère que le nombre de douze heures indiqué par le représentant de l'intéressée est trop élevé. Au vu de de l'ensemble des circonstances du cas, en particulier de l'importance de l'affaire, du degré de difficulté de cette dernière, de l'ampleur du travail accompli par le mandataire de l'intéressée et du tarif horaire de 280 francs mentionné dans ledit décompte, qui est compris dans la fourchette prévue par l'art. 10 al. 2 FITAF, le Tribunal estime qu'une indemnité d'un montant de 3'150 francs, correspondant à neuf heures d'activité (plus frais et débours arrondis) et couvrant l'ensemble des frais de représentation au sens de l'art. 9 al. 1 let. a à c FITAF (à savoir les honoraires d'avocat, les frais encourus et la TVA), apparaît justifiée.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