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C-410/2016 vom 5. Februar 2016</w:t>
      </w:r>
    </w:p>
    <w:p>
      <w:r>
        <w:t>Bundesverwaltungsgericht, 2016-02-05, DE</w:t>
      </w:r>
    </w:p>
    <w:p>
      <w:r>
        <w:rPr>
          <w:b/>
        </w:rPr>
        <w:t xml:space="preserve">Quelle: </w:t>
      </w:r>
      <w:r>
        <w:t>https://mcp.opencaselaw.ch/entscheid/bvger_C-410_2016</w:t>
      </w:r>
    </w:p>
    <w:p>
      <w:r>
        <w:t>FR: TAF C-410/2016 du 5 février 2016</w:t>
      </w:r>
    </w:p>
    <w:p>
      <w:r>
        <w:t>IT: TAF C-410/2016 del 5 febbraio 2016</w:t>
      </w:r>
    </w:p>
    <w:p>
      <w:pPr>
        <w:pStyle w:val="Heading2"/>
      </w:pPr>
      <w:r>
        <w:t>Regeste</w:t>
      </w:r>
    </w:p>
    <w:p>
      <w:r>
        <w:t>Zuweisung der Asylsuchenden an die Kantone</w:t>
      </w:r>
    </w:p>
    <w:p>
      <w:pPr>
        <w:pStyle w:val="Heading2"/>
      </w:pPr>
      <w:r>
        <w:t>Erwägungen</w:t>
      </w:r>
    </w:p>
    <w:p>
      <w:r>
        <w:rPr>
          <w:b/>
        </w:rPr>
        <w:t>E. 1</w:t>
      </w:r>
    </w:p>
    <w:p>
      <w:r>
        <w:t>Das Bundesverwaltungsgericht entscheidet über die vorliegende Beschwerde gegen eine Verfügung nach Art. 5 VwVG des SEM endgültig (vgl. Art. 105 AsylG i.V.m. Art. 31-33 VGG; Art. 83 Bst. d Ziff. 1 BGG). Als Verfügungsadressaten sind die Beschwerdeführenden beschwerdelegitimiert (Art. 105 AsylG i.V.m. Art. 37 VGG und Art. 48 Abs. 1 VwVG). Auf die frist- und formgerecht eingereichte Beschwerde ist einzutreten (Art. 108 Abs. 1 AsylG i.V.m. Art. 37 VGG und Art. 52 VwVG).</w:t>
      </w:r>
    </w:p>
    <w:p>
      <w:r>
        <w:rPr>
          <w:b/>
        </w:rPr>
        <w:t>E. 2</w:t>
      </w:r>
    </w:p>
    <w:p>
      <w:r>
        <w:t>Im vorliegenden Verfahren kann gemäss Art. 27 Abs. 3 AsylG ausschliesslich die Verletzung der Einheit der Familie gerügt werden (vgl. BVGE 2009/54 E. 1.3.1).</w:t>
      </w:r>
    </w:p>
    <w:p>
      <w:r>
        <w:rPr>
          <w:b/>
        </w:rPr>
        <w:t>E. 3</w:t>
      </w:r>
    </w:p>
    <w:p>
      <w:r>
        <w:t>Die Beschwerde erweist sich als offensichtlich unbegründet und ist im Verfahren einzelrichterlicher Zuständigkeit mit Zustimmung eines zweiten Richters (Art. 111 Bst. e AsylG) und mit summarischer Begründung zu behandeln (Art. 111a Abs. 2 AsylG).</w:t>
      </w:r>
    </w:p>
    <w:p>
      <w:r>
        <w:rPr>
          <w:b/>
        </w:rPr>
        <w:t>E. 4</w:t>
      </w:r>
    </w:p>
    <w:p>
      <w:r>
        <w:t>In casu wurde gestützt auf Art. 111a Abs. 1 AsylG auf einen Schriftenwechsel verzichtet.</w:t>
      </w:r>
    </w:p>
    <w:p>
      <w:r>
        <w:rPr>
          <w:b/>
        </w:rPr>
        <w:t>E. 5</w:t>
      </w:r>
    </w:p>
    <w:p>
      <w:r>
        <w:t>Das Urteil ergeht in deutscher Sprache, da im Beschwerdeverfahren die Sprache des angefochtenen Entscheids massgebend ist (vgl. Art. 33a Abs. 2 VwVG).</w:t>
      </w:r>
    </w:p>
    <w:p>
      <w:r>
        <w:rPr>
          <w:b/>
        </w:rPr>
        <w:t>E. 6</w:t>
      </w:r>
    </w:p>
    <w:p>
      <w:r>
        <w:t>Gemäss Art. 27 Abs. 3 AsylG weist das SEM die Asylsuchenden den Kantonen zu und trägt dabei den schützenswerten Interessen der Kantone und der Asylsuchenden Rechnung, wobei es gemäss Art. 22 Abs. 1 AsylV 1 bereits in der Schweiz lebende Familienangehörige, die Staatsangehörigkeit der Asylsuchenden und besonders betreuungsintensive Fälle berücksichtigt.</w:t>
      </w:r>
    </w:p>
    <w:p>
      <w:r>
        <w:rPr>
          <w:b/>
        </w:rPr>
        <w:t>E. 7</w:t>
      </w:r>
    </w:p>
    <w:p>
      <w:r>
        <w:t>Der von Art. 27 Abs. 3 AsylG erfasste Begriff der Familieneinheit entspricht demjenigen von Art. 8 EMRK. Den Schutz des Familienlebens können grundsätzlich nur die Mitglieder einer Kernfamilie, Ehegatten und ihre minderjährigen Kinder, anrufen. Über diesen engen Kern hinausgehende verwandtschaftliche Bande fallen nur dann unter den Schutz der Einheit der Familie, sofern eine nahe, echte und tatsächlich gelebte Beziehung zwischen den Angehörigen besteht. Gemäss Rechtsprechung setzt eine solche verwandtschaftliche Beziehung zudem voraus, dass zwischen diesen Personen ein eigentliches Abhängigkeitsverhältnis besteht. Ein solches wird beispielsweise angenommen, wenn Angehörige behindert sind oder aus einem anderen Grund auf die Hilfe einer Person, welche in der Schweiz lebt, angewiesen sind (BVGE 2008/47, E. 4.1).</w:t>
      </w:r>
    </w:p>
    <w:p>
      <w:r>
        <w:rPr>
          <w:b/>
        </w:rPr>
        <w:t>E. 8</w:t>
      </w:r>
    </w:p>
    <w:p>
      <w:r>
        <w:t>8.1 Es ist unbestritten, dass die Beschwerdeführerin und ihre im Kanton Y._______ wohnhaften Geschwister keine Kernfamilie bilden, weshalb zu prüfen ist, ob die geschilderten Voraussetzungen, die für eine schützenswerte verwandtschaftliche Beziehung ausserhalb der Kernfamilie sprechen würden, erfüllt sind.</w:t>
      </w:r>
    </w:p>
    <w:p>
      <w:r>
        <w:rPr>
          <w:b/>
        </w:rPr>
        <w:t>E. 8.2</w:t>
      </w:r>
    </w:p>
    <w:p>
      <w:r>
        <w:t>Der Wunsch der Beschwerdeführerenden, in der Nähe ihrer Verwandten zu leben, ist zwar nachvollziehbar und es soll auch nicht verkannt werden, dass hilfreiche Unterstützung auf diese Weise leichter organisierbar wäre. Diese Umstände vermögen jedoch kein Abhängigkeitsverhältnis im vorliegend entscheidenden Sinne zu begründen. Dafür spricht schon die mehrjährige Trennung (vgl. Bst. C vorne).</w:t>
      </w:r>
    </w:p>
    <w:p>
      <w:r>
        <w:rPr>
          <w:b/>
        </w:rPr>
        <w:t>E. 8.3</w:t>
      </w:r>
    </w:p>
    <w:p>
      <w:r>
        <w:t>Die Zuweisung der Beschwerdeführenden in den Kanton Z._______ hat den Grundsatz der Einheit der Familie im Sinne von Art. 27 Abs. 3 AsylG nicht verletzt.</w:t>
      </w:r>
    </w:p>
    <w:p>
      <w:r>
        <w:rPr>
          <w:b/>
        </w:rPr>
        <w:t>E. 9</w:t>
      </w:r>
    </w:p>
    <w:p>
      <w:r>
        <w:t>Demzufolge ist die angefochtene Zwischenverfügung bundesrechtskonform und auch sonst nicht zu beanstanden (Art. 106 Abs. 1 AsylG). Die Beschwerde ist abzuweisen.</w:t>
      </w:r>
    </w:p>
    <w:p>
      <w:r>
        <w:rPr>
          <w:b/>
        </w:rPr>
        <w:t>E. 10</w:t>
      </w:r>
    </w:p>
    <w:p>
      <w:r>
        <w:t>Bei diesem Ausgang des Verfahrens sind die Kosten von Fr. 600.-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