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C-409/2013 vom 2. Juni 2014</w:t>
      </w:r>
    </w:p>
    <w:p>
      <w:r>
        <w:t>Bundesverwaltungsgericht, 2014-06-02, FR</w:t>
      </w:r>
    </w:p>
    <w:p>
      <w:r>
        <w:rPr>
          <w:b/>
        </w:rPr>
        <w:t xml:space="preserve">Quelle: </w:t>
      </w:r>
      <w:r>
        <w:t>https://mcp.opencaselaw.ch/entscheid/bvger_C-409_2013</w:t>
      </w:r>
    </w:p>
    <w:p>
      <w:r>
        <w:t>FR: TAF C-409/2013 du 2 juin 2014</w:t>
      </w:r>
    </w:p>
    <w:p>
      <w:r>
        <w:t>IT: TAF C-409/2013 del 2 giugno 2014</w:t>
      </w:r>
    </w:p>
    <w:p>
      <w:pPr>
        <w:pStyle w:val="Heading2"/>
      </w:pPr>
      <w:r>
        <w:t>Regeste</w:t>
      </w:r>
    </w:p>
    <w:p>
      <w:r>
        <w:t>Droit à la rente</w:t>
      </w:r>
    </w:p>
    <w:p>
      <w:pPr>
        <w:pStyle w:val="Heading2"/>
      </w:pPr>
      <w:r>
        <w:t>Erwägungen</w:t>
      </w:r>
    </w:p>
    <w:p>
      <w:r>
        <w:rPr>
          <w:b/>
        </w:rPr>
        <w:t>E. 11</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w:t>
      </w:r>
    </w:p>
    <w:p>
      <w:r>
        <w:t>Partant, le recours du 24 janvier 2013 est rejeté et la décision du 12 décembre 2012 confirmée.</w:t>
      </w:r>
    </w:p>
    <w:p>
      <w:r>
        <w:rPr>
          <w:b/>
        </w:rPr>
        <w:t>E. 13</w:t>
      </w:r>
    </w:p>
    <w:p>
      <w:r>
        <w:t>Les frais de procédure par Fr. 400.-- sont mis à la charge du recourant (art. 63 al. 1 PA, applicable par le truchement de l'art. 37 LTAF). Ils sont compensés par l'avance de frais déjà fournie (TAF pces 6 et 8). Vu l'issue du litige, il n'est pas alloué d'indemnité de dépens (art. 7 al. 1 et 3 du règlement du 21 février 2008 concernant les frais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