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C-409/2008 vom 30. Juni 2009</w:t>
      </w:r>
    </w:p>
    <w:p>
      <w:r>
        <w:t>Bundesverwaltungsgericht, 2009-06-30, DE</w:t>
      </w:r>
    </w:p>
    <w:p>
      <w:r>
        <w:rPr>
          <w:b/>
        </w:rPr>
        <w:t xml:space="preserve">Quelle: </w:t>
      </w:r>
      <w:r>
        <w:t>https://mcp.opencaselaw.ch/entscheid/bvger_C-409_2008</w:t>
      </w:r>
    </w:p>
    <w:p>
      <w:r>
        <w:t>FR: TAF C-409/2008 du 30 juin 2009</w:t>
      </w:r>
    </w:p>
    <w:p>
      <w:r>
        <w:t>IT: TAF C-409/2008 del 30 giugno 2009</w:t>
      </w:r>
    </w:p>
    <w:p>
      <w:pPr>
        <w:pStyle w:val="Heading2"/>
      </w:pPr>
      <w:r>
        <w:t>Regeste</w:t>
      </w:r>
    </w:p>
    <w:p>
      <w:r>
        <w:t>Rückvergütung von Beiträgen</w:t>
      </w:r>
    </w:p>
    <w:p>
      <w:pPr>
        <w:pStyle w:val="Heading2"/>
      </w:pPr>
      <w:r>
        <w:t>Erwägungen</w:t>
      </w:r>
    </w:p>
    <w:p>
      <w:r>
        <w:rPr>
          <w:b/>
        </w:rPr>
        <w:t>E. 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nach Art. 5 des Bundesgesetzes vom 20. Dezember 1968 über das Verwaltungsverfahren (VwVG, SR 172.021) der Schweizerischen Ausgleichskasse. Es liegt keine Ausnahme im Sinne von Art. 32 VGG vor. Das Bundesverwaltungsgericht ist somit zur Beurteilung der Beschwerde zuständig.</w:t>
      </w:r>
    </w:p>
    <w:p>
      <w:r>
        <w:rPr>
          <w:b/>
        </w:rPr>
        <w:t>E. 1.1</w:t>
      </w:r>
    </w:p>
    <w:p>
      <w:r>
        <w:t>Der angefochtene Entscheid ist eine Verfügung im Sinn von Art. 5 VwVG, durch die der Beschwerdeführer besonders berührt ist und an deren Aufhebung oder Änderung er ein schutzwürdiges Interesse hat (Art. 48 Abs. 1 VwVG; vgl. auch Art. 59 des Bundesgesetzes vom 6. Oktober 2000 über den Allgemeinen Teil des Sozialversicherungsrechts [ATSG, SR 830.1]). Er ist daher zur Beschwerde legitimiert.</w:t>
      </w:r>
    </w:p>
    <w:p>
      <w:r>
        <w:rPr>
          <w:b/>
        </w:rPr>
        <w:t>E. 1.2</w:t>
      </w:r>
    </w:p>
    <w:p>
      <w:r>
        <w:t>Da die Beschwerde im Übrigen frist- und formgerecht (Art. 50 Abs. 1, Art. 52 Abs. 1 VwVG; vgl. auch Art. 60 Abs. 1 ATSG) eingereicht wurde, ist auf die Beschwerde einzutreten.</w:t>
      </w:r>
    </w:p>
    <w:p>
      <w:r>
        <w:rPr>
          <w:b/>
        </w:rPr>
        <w:t>E. 2</w:t>
      </w:r>
    </w:p>
    <w:p>
      <w:r>
        <w:t>Gemäss Art. 37 VGG richtet sich das Verfahren vor dem Bundesverwaltungsgericht nach dem VwVG, soweit das VGG nichts anderes bestimmt. Aufgrund von Art. 3 lit.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134 V 315 E. 1.2, BGE 130 V 329 E. 2.3).</w:t>
      </w:r>
    </w:p>
    <w:p>
      <w:r>
        <w:rPr>
          <w:b/>
        </w:rPr>
        <w:t>E. 4</w:t>
      </w:r>
    </w:p>
    <w:p>
      <w:r>
        <w:t>Vorliegend streitig ist der Anspruch auf Rückvergütung von AHV-Beiträgen.</w:t>
      </w:r>
    </w:p>
    <w:p>
      <w:r>
        <w:rPr>
          <w:b/>
        </w:rPr>
        <w:t>E. 4.1</w:t>
      </w:r>
    </w:p>
    <w:p>
      <w:r>
        <w:t>Vorab ist zu prüfen, welche materiellen Rechtsnormen im vorliegenden Verfahren zur Anwendung kommen.</w:t>
      </w:r>
    </w:p>
    <w:p>
      <w:r>
        <w:rPr>
          <w:b/>
        </w:rPr>
        <w:t>E. 4.2</w:t>
      </w:r>
    </w:p>
    <w:p>
      <w:r>
        <w:t>Der Beschwerdeführer ist am (...) geboren. Mit Erreichen des ordentlichen Rentenalters im (...) ist der Versicherungsfall eingetreten. Zudem ist der Antrag auf Rückerstattung der bezahlten Beiträge, datiert vom 20. Oktober 2007, am 30. Oktober 2007 bei der Vorinstanz eingegangen. Deshalb sind vorliegend das AHVG in der Fassung vom 23. Juni 2006 (AS 2007 5259) sowie in der Fassung vom 30. Juni 1972 (AS 1972 2483) und insbesondere die Verordnung über die Rückvergütung der von Ausländern an die Alters- und Hinterlassenenversicherung bezahlten Beiträge vom 29. November 1995 (AS 1996 688) sowie in der Fassung vom 14. März 1952 anwendbar.</w:t>
      </w:r>
    </w:p>
    <w:p>
      <w:r>
        <w:rPr>
          <w:b/>
        </w:rPr>
        <w:t>E. 4.3</w:t>
      </w:r>
    </w:p>
    <w:p>
      <w:r>
        <w:t>Nach Art. 18 Abs. 3 AHVG können Ausländern, die ihren Wohnsitz im Ausland haben und mit deren Heimatstaat keine zwischenstaatliche Vereinbarung besteht, die gemäss Art. 5, 6, 8, 10 und 13 AHVG bezahlten Beiträge rückvergütet werden. Der Bundesrat regelt die Einzelheiten, insbesondere das Ausmass der Rückvergütung. Gemäss den Schlussbestimmungen der Änderung vom 7. Oktober 1994 (10. AHV-Revision, AS 1996 2466, in Kraft seit 1. Januar 1997) Bst. h ist Art. 18 Abs. 3 AHVG auf Personen anwendbar, denen noch keine AHV-Beiträge rückvergütet worden sind und deren Rückvergütungsanspruch noch nicht verjährt ist.</w:t>
      </w:r>
    </w:p>
    <w:p>
      <w:r>
        <w:rPr>
          <w:b/>
        </w:rPr>
        <w:t>E. 4.4</w:t>
      </w:r>
    </w:p>
    <w:p>
      <w:r>
        <w:t>In der Verordnung über die Rückvergütung der von Ausländern an die Alters- und Hinterlassenenversicherung bezahlten Beiträge regelt der Bundesrat die entsprechenden Einzelheiten. Art. 1 RV-AHV besagt, dass Ausländer, mit deren Heimatstaat keine zwischenstaatliche Vereinbarung besteht, sowie ihre Hinterlassenen, nach den nachstehenden Bestimmungen die der Alters- und Hinterlassenenversicherung entrichteten Beiträge zurückfordern können, sofern diese gesamthaft während mindestens eines vollen Jahres geleistet worden sind. Die Beiträge können zurückgefordert werden, sobald die Person aller Voraussicht nach endgültig aus der Versicherung ausgeschieden ist und sowohl sie selber als auch die Ehefrau oder der Ehemann und ihre noch nicht 25-jährigen Kinder nicht mehr in der Schweiz wohnen (Art. 2 Abs. 1 RV-AHV). Der Beschwerdeführer ist iranischer Staatsangehöriger, er hat während mehr als einem Jahr Beiträge geleistet (act. 30, 31, 32, 33, 34, 35, 36, 37, 43) und mit seinem Heimatland besteht keine zwischenstaatliche Vereinbarung. Ferner wohnt er seit dem 5. Dezember 1970 nicht mehr in der Schweiz (act. 9) und ist aus der Versicherung ausgeschieden. Er erfüllt somit grundsätzlich die Voraussetzungen zur Rückforderung der Beiträge.</w:t>
      </w:r>
    </w:p>
    <w:p>
      <w:r>
        <w:rPr>
          <w:b/>
        </w:rPr>
        <w:t>E. 4.5</w:t>
      </w:r>
    </w:p>
    <w:p>
      <w:r>
        <w:t>Des Weiteren ist zu prüfen, ob der Anspruch des Beschwerdeführers auf Rückforderung der Beiträge verjährt ist. Art. 7 RV-AHV, der in der Fassung vom 29. November 1995 sowie in der Fassung vom 14. März 1952 gleich lautet, setzt fest, dass der Anspruch auf Rückvergütung mit dem Ablauf von fünf Jahren seit dem Versicherungsfall verjährt.</w:t>
      </w:r>
    </w:p>
    <w:p>
      <w:r>
        <w:rPr>
          <w:b/>
        </w:rPr>
        <w:t>E. 4.6</w:t>
      </w:r>
    </w:p>
    <w:p>
      <w:r>
        <w:t>Der am (...) geborene Beschwerdeführer hat am (...) das Rentenalter von 65 Jahren erreicht (Eintritt des Versicherungsfalls). Demnach hätte er den Antrag auf Rückerstattung der Beiträge spätestens bis Ende (...) bei der SAK einreichen müssen (Art. 7 RV-AHV). Der Beschwerdeführer hat sein vom 20. Oktober 2007 datiertes Gesuch jedoch erst am 30. Oktober 2007 gestellt, weshalb sein Anspruch auf Rückvergütung der an die AHV geleisteten Beiträge verjährt ist.</w:t>
      </w:r>
    </w:p>
    <w:p>
      <w:r>
        <w:rPr>
          <w:b/>
        </w:rPr>
        <w:t>E. 4.7</w:t>
      </w:r>
    </w:p>
    <w:p>
      <w:r>
        <w:t>Soweit der Beschwerdeführer geltend macht, die SAK habe ihre Informationspflichten bezüglich der Verordnung über die Rückvergütung nicht wahrgenommen, ist er darauf hinzuweisen, dass sich von Gesetzes wegen keine solche Pflichten ergeben. Wie die Vorinstanz zu Recht ausgeführt hat, ist es Sache der Betroffenen, sich über einen allfälligen Anspruch auf Rückvergütung zu informieren.</w:t>
      </w:r>
    </w:p>
    <w:p>
      <w:r>
        <w:rPr>
          <w:b/>
        </w:rPr>
        <w:t>E. 5</w:t>
      </w:r>
    </w:p>
    <w:p>
      <w:r>
        <w:t>Das Bundesverwaltungsgericht kommt daher zum Schluss, dass die Vorinstanz das Gesuch um Rückvergütung der an die schweizerische AHV geleisteten Beiträge zu Recht abgewiesen hat, weshalb die Beschwerde - im einzelrichterlichen Verfahren gemäss Art. 85bis Abs. 3 AHVG - abzuweisen und der Einspracheentscheid zu bestätigen ist.</w:t>
      </w:r>
    </w:p>
    <w:p>
      <w:r>
        <w:rPr>
          <w:b/>
        </w:rPr>
        <w:t>E. 6</w:t>
      </w:r>
    </w:p>
    <w:p>
      <w:r>
        <w:t>Das Verfahren ist für die Parteien kostenlos (Art. 85bis Abs. 2 AHVG). Der unterliegende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