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C-4099/2021 vom 16. August 2022</w:t>
      </w:r>
    </w:p>
    <w:p>
      <w:r>
        <w:t>Bundesverwaltungsgericht, 2022-08-16, IT</w:t>
      </w:r>
    </w:p>
    <w:p>
      <w:r>
        <w:rPr>
          <w:b/>
        </w:rPr>
        <w:t xml:space="preserve">Quelle: </w:t>
      </w:r>
      <w:r>
        <w:t>https://mcp.opencaselaw.ch/entscheid/bvger_C-4099_2021</w:t>
      </w:r>
    </w:p>
    <w:p>
      <w:r>
        <w:t>FR: TAF C-4099/2021 du 16 août 2022</w:t>
      </w:r>
    </w:p>
    <w:p>
      <w:r>
        <w:t>IT: TAF C-4099/2021 del 16 agosto 2022</w:t>
      </w:r>
    </w:p>
    <w:p>
      <w:pPr>
        <w:pStyle w:val="Heading2"/>
      </w:pPr>
      <w:r>
        <w:t>Regeste</w:t>
      </w:r>
    </w:p>
    <w:p>
      <w:r>
        <w:t>Diritto alla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 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w:t>
      </w:r>
    </w:p>
    <w:p>
      <w:r>
        <w:t>C-4099/2021 Pagina 6 legge (art. 52 cpv. 1 PA). L’anticipo spese è stato inoltre corrisposto entro il termine impartito (art. 63 cpv. 4 PA). Il ricorso è pertanto ammissibile.</w:t>
      </w:r>
    </w:p>
    <w:p>
      <w:r>
        <w:rPr>
          <w:b/>
        </w:rPr>
        <w:t>E. 2.1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3.1</w:t>
      </w:r>
    </w:p>
    <w:p>
      <w:r>
        <w:t>Oggetto del contendere, è l’eventuale diritto del ricorrente a percepire una rendita d’invalidità a decorrere al più presto dal 1° novembre 2018 (art. 29 cpv. 1 LAI). Preliminarmente, nel caso di specie, occorre tuttavia esa- minare se l’autorità inferiore ha proceduto ad un sufficiente accertamento dei fatti giuridicamente rilevanti prima di rendere la decisione impugnata oppure – come tra l’altro sostenuto dal ricorrente in via subordinata – avrebbe dovuto fare eseguire ulteriori accertamenti medici specialistici per potersi determinare con cognizione di causa – secondo il grado della vero- simiglianza preponderante valido nelle assicurazioni sociali – sul suo stato di salute, rispettivamente sulla sua residua capacità lavorativa.</w:t>
      </w:r>
    </w:p>
    <w:p>
      <w:r>
        <w:rPr>
          <w:b/>
        </w:rPr>
        <w:t>E. 3.2</w:t>
      </w:r>
    </w:p>
    <w:p>
      <w:r>
        <w:t>Al riguardo, con gravame del 9 settembre 2021, il ricorrente ha ribadito come la decisione impugnata fonda su accertamenti medici insufficienti. Egli ha censurato tra l’altro che i referti medici agli atti dimostrano come le malattie e patologie che lo affliggono hanno comportato la perdita totale della capacità lavorativa e della capacità di guadagno ma che l’autorità in- feriore non ha tenuto conto di tutto il quadro patologico da cui è affetto ma unicamente della malattia ortopedica e psichiatrica (cfr. doc. TAF 1).</w:t>
      </w:r>
    </w:p>
    <w:p>
      <w:r>
        <w:rPr>
          <w:b/>
        </w:rPr>
        <w:t>E. 3.3</w:t>
      </w:r>
    </w:p>
    <w:p>
      <w:r>
        <w:t>Con risposta del 18 gennaio 2022, l'autorità inferiore, preso atto della valutazione della dott.ssa G._______ del 7 dicembre 2021 – in cui ha atte- stato una totale inabilità lavorativa nella precedente attività a decorrere dal</w:t>
      </w:r>
    </w:p>
    <w:p>
      <w:r>
        <w:rPr>
          <w:b/>
        </w:rPr>
        <w:t>E. 3.4</w:t>
      </w:r>
    </w:p>
    <w:p>
      <w:r>
        <w:t>Questo Tribunale rileva che tale proposta, pur avendovi il ricorrente aderito (doc. TAF 12), non può essere accolta come tale. Prima di potersi determinare sul diritto ad una rendita d’invalidità del ricorrente si impone in effetti di completare l'accertamento dei fatti giuridicamente rilevanti per l'as- sicurazione invalidità, con riferimento in particolare all’evoluzione del suo stato di salute, rispettivamente della sua capacità di lavoro residua e dei suoi limiti funzionali (cfr. consid. 3.6 a 3.8 del presente giudizio).</w:t>
      </w:r>
    </w:p>
    <w:p>
      <w:r>
        <w:rPr>
          <w:b/>
        </w:rPr>
        <w:t>E. 3.5</w:t>
      </w:r>
    </w:p>
    <w:p>
      <w:r>
        <w:t>A tal proposito giova in particolare segnalare che giusta l’art. 50 cpv. 1 LPGA, le controversie nell'ambito delle assicurazioni sociali possono es- sere composte con transazione. Secondo il capoverso 2, l'assicuratore è tenuto a comunicare la transazione sotto forma di decisione impugnabile, mentre il capoverso 3 prevede che i capoversi 1 e 2 sono applicabili, natu- ralmente solo per analogia (cfr. UELI KIESER, in: ATSG-Kommentar, 3a ed. 2015, art. 50 n. 29 e seg.), alla procedura di opposizione e nella procedura di ricorso. Per controversie “nell'ambito delle assicurazioni sociali”, si inten- dono vertenze concernenti le prestazioni ai sensi degli art. 14 e segg. LPGA (prestazioni in natura [art. 14 LPGA] e prestazioni pecuniarie [art. 15 LPGA]; DTF 133 V 593 consid. 4.1 e 131 V 417 consid. 4.1). Peraltro, e 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 zioni nell'ambito di una procedura giudiziaria amministrativa, stabilendo che, in simile evenienza, il giudice deve esaminare la conformità della tran- 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 tomeno contenere una motivazione sommaria che spieghi in quale misura l'accordo sia conforme allo stato di fatto e di diritto (DTF 135 V 65 consid. 2.6; cfr. anche la sentenza del TF 9C_42/2010 del 31 maggio 2010 consid.</w:t>
      </w:r>
    </w:p>
    <w:p>
      <w:r>
        <w:t>C-4099/2021 Pagina 8 3.2; v. pure sentenza del TAF C-5475/2020 del 12 febbraio 2021 consid. 9 e 10.2 con rinvii). In altri termini, la proposta dell’autorità inferiore, quand’anche accettata dal ricorrente, non è vincolante per la risoluzione del caso in esame.</w:t>
      </w:r>
    </w:p>
    <w:p>
      <w:r>
        <w:rPr>
          <w:b/>
        </w:rPr>
        <w:t>E. 3.6</w:t>
      </w:r>
    </w:p>
    <w:p>
      <w:r>
        <w:t>Dalla documentazione medica agli atti risulta segnatamente – da una parte – come lo stato di salute del ricorrente, caratterizzato da numerose affezioni di diversa natura, non sia stato sufficientemente acclarato e – d’al- tra parte – come le stesse valutazioni degli specialisti del servizio medico dell’UAIE, rispettivamente del SMR, siano divergenti e non sufficiente- mente chiare per potersi determinare sul caso.</w:t>
      </w:r>
    </w:p>
    <w:p>
      <w:r>
        <w:rPr>
          <w:b/>
        </w:rPr>
        <w:t>E. 3.7.1</w:t>
      </w:r>
    </w:p>
    <w:p>
      <w:r>
        <w:t>Innanzitutto, il complesso quadro valetudinario del ricorrente non ap- pare essere stato sufficientemente acclarato da specialisti cogniti nelle branche mediche toccate: sia per quello che attiene alle singole affezioni (v. a tal riguardo segnatamente le prese di posizione della dott.ssa D._______ del 9 marzo 2021 [doc. 127]), del dott. E._______ del 26 giugno 2020 [doc. 72] e del 31 marzo 2020 [doc. 66] e della dott.ssa B._______ del 16 luglio 2019 [doc. 47], in cui i medici in questione evidenziavano in- sufficienti approfondimenti e spiegazioni da parte dei colleghi italiani che hanno visitato il ricorrente) ma soprattutto per quello che concerne una va- lutazione complessiva ed interdisciplinare (segnatamente in: medicina in- terna, endocrinologia, nefrologia, ortopedia/reumatologia, cardiologia e psichiatria) che consideri anche l’eventuale effetto congiunto delle affezioni in parola e la cui imprescindibilità risulta e risultava evidente alla luce delle molteplici e complesse affezioni da cui è afflitto l’assicurato. Dal profilo psi- chiatrico, a seguito di un approfondito esame clinico sarà peraltro anche necessario che uno specialista si esprima nuovamente mediante una va- lutazione strutturata secondo gli indicatori.</w:t>
      </w:r>
    </w:p>
    <w:p>
      <w:r>
        <w:rPr>
          <w:b/>
        </w:rPr>
        <w:t>E. 3.7.2</w:t>
      </w:r>
    </w:p>
    <w:p>
      <w:r>
        <w:t>In assenza di tali approfondimenti, non risulta possibile determinarsi, con il grado della verosimiglianza preponderante valido nelle assicurazioni sociali, sullo stato di salute del ricorrente e sulle conseguenze sulla capa- cità lavorativa.</w:t>
      </w:r>
    </w:p>
    <w:p>
      <w:r>
        <w:rPr>
          <w:b/>
        </w:rPr>
        <w:t>E. 3.8.1</w:t>
      </w:r>
    </w:p>
    <w:p>
      <w:r>
        <w:t>Inoltre, le valutazioni dei medici del SMR/Servizio medico dell’UAIE sono divergenti e non sufficientemente motivate. In particolare, dopo che</w:t>
      </w:r>
    </w:p>
    <w:p>
      <w:r>
        <w:t>C-4099/2021 Pagina 9 le dott.sse D._______ e B._______ hanno a più riprese ribadito che le af- fezioni somatiche di cui soffriva il ricorrente non comportavano limitazioni funzionali significative e soprattutto non limitavano la sua capacità lavora- tiva; la dott.ssa G._______, senza che siano stati prodotti nuovi referti at- testanti affezioni non conosciute o aggravamenti importanti del noto quadro valetudinario, ha rilevato che il ricorrente soffre di numerose malattie e che, a livello somatico, la problematica policistica deve essere ritenuta un’affe- zione grave. Essa ha dunque considerato necessario rivedere i gradi di incapacità lavorativa finora ritenuti ed ha attestato una totale inabilità lavo- rativa nella precedente attività a decorrere dal 4 gennaio 2015 (data in cui sono iniziati gli approfondimenti per l’affezione al pancreas). In attività ade- guate ha invece attestato una totale inabilità dal 4 gennaio 2015 a giugno 2016, una capacità lavorativa del 70% a decorrere dal 23 giugno 2016 e del 50% dal 29 settembre 2019 (data del rapporto reumatologico, in cui – oltre alle note problematiche osteoarticolari – sono rilevati anche proble- matiche alle mani). Così facendo, essa si è scostata dalle valutazioni delle sue colleghe, senza indicare per quale motivo, dal profilo medico, ha rite- nuto di dover rivedere i gradi di incapacità lavorativa attestati in prece- denza.</w:t>
      </w:r>
    </w:p>
    <w:p>
      <w:r>
        <w:rPr>
          <w:b/>
        </w:rPr>
        <w:t>E. 3.8.2</w:t>
      </w:r>
    </w:p>
    <w:p>
      <w:r>
        <w:t>Anche per questo motivo dunque, la decisione impugnata, che si fonda sui menzionati pareri medici e dai quali non si evince un quadro chiaro e condivisibile dello stato di salute del ricorrente, non merita di es- sere tutelata e va pertanto annullata e gli atti rinviati all’autorità inferiore per gli ulteriori accertamenti del caso.</w:t>
      </w:r>
    </w:p>
    <w:p>
      <w:r>
        <w:rPr>
          <w:b/>
        </w:rPr>
        <w:t>E. 4</w:t>
      </w:r>
    </w:p>
    <w:p>
      <w:r>
        <w:t>Ciò premesso, va dunque rilevato che, contrariamente a quanto preteso dal ricorrente, non è possibile statuire nella presente fattispecie nel senso da lui richiesto in via principale (riconoscimento del diritto a percepire una rendita d’invalidità svizzera), ma nemmeno nel senso della proposta for- mulata dall’UAIE, che non vincola questo Tribunale, con la risposta del 18 gennaio 2022, non essendo stata in entrambi i casi la fattispecie rilevante dimostrata con il grado della verosimiglianza preponderante valido nelle assicurazioni sociali. In tale ottica, non soccorrono il ricorrente neppure le sue osservazioni datate 1°agosto 2022, mediante le quali non ha peraltro prodotto alcun documento medico obiettivo che potesse far apparire giu- stificata – contrariamente a quanto ritenuto al consid. 3.7 e 3.8 del presente giudizio – la proposta di soluzione del caso fatta dall’autorità inferiore nella risposta al ricorso.</w:t>
      </w:r>
    </w:p>
    <w:p>
      <w:r>
        <w:t>C-4099/2021 Pagina 10</w:t>
      </w:r>
    </w:p>
    <w:p>
      <w:r>
        <w:rPr>
          <w:b/>
        </w:rPr>
        <w:t>E. 5</w:t>
      </w:r>
    </w:p>
    <w:p>
      <w:r>
        <w:t>Da quanto esposto discende che il ricorso deve essere accolto, nel senso che la decisione impugnata è annullata e gli atti di causa rinviati all'ammi- nistrazione, affinché proceda ai necessari complementi istruttori. A tal pro- posito, questo Tribunale rileva che – alla luce delle affezioni in concreto lamentate dall’assicurato – l’autorità inferiore dovrà in particolare far effet- tuare in Svizzera una perizia pluridisciplinare in medicina interna, ortopedia o reumatologia, endocrinologia, nefrologia, psichiatria e cardiologia – riser- vato inoltre ogni ulteriore esame che l’evoluzione nel tempo dello stato di salute dell’insorgente dovesse ancora rendere necessario – con valuta- zione congiunta da parte degli specialisti, non essendo sufficiente esami- nare le affezioni di cui soffre un assicurato mediante perizie indipendenti (DTF 137 I 327 consid. 7.3 e sentenza del TF 9C_235/2013 del 10 settem- bre consid. 3.2). In seguito l’amministrazione si pronuncerà sul grado di invalidità dell’assicurato e sul suo diritto ad una rendita.</w:t>
      </w:r>
    </w:p>
    <w:p>
      <w:r>
        <w:rPr>
          <w:b/>
        </w:rPr>
        <w:t>E. 6.1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Tale non è il caso, per i motivi precedentemente indicati, nella presente fattispecie.</w:t>
      </w:r>
    </w:p>
    <w:p>
      <w:r>
        <w:rPr>
          <w:b/>
        </w:rPr>
        <w:t>E. 6.2</w:t>
      </w:r>
    </w:p>
    <w:p>
      <w:r>
        <w:t>Peraltro, in siffatte circostanze, neppure la più recente giurisprudenza del Tribunale federale di cui a DTF 137 V 210 (cfr. segnatamente il consid. 4.4.1.4) – si oppone al rinvio della causa all'autorità inferiore per eseguire una perizia pluridisciplinare, del tutto carente in concreto. In effetti, in as- senza di una perizia pluridisciplinare non era, né è, possibile determinarsi con cognizione di causa, ed il necessario grado della verosimiglianza pre- ponderante, sull’incidenza effettiva, delle affezioni di cui soffre il ricorrente, sulla residua capacità lavorativa rispettivamente sulla sua evoluzione nel tempo. In particolare, un rinvio all’autorità inferiore si giustifica, dal profilo delle garanzie procedurali (segnatamente quello della doppia istanza con piena cognizione) nei casi in cui, come nella fattispecie, è necessario l’esperimento di una perizia interdisciplinare mai effettuata e chiaramente necessaria già prima della resa della decisione dell’autorità inferiore qui impugnata per potersi determinare nel caso in esame con cognizione di causa (DTF 137 V 210 consid. 4.4.1.4). In particolare, un rinvio all’autorità inferiore si giustifica, dal profilo delle garanzie procedurali (segnatamente</w:t>
      </w:r>
    </w:p>
    <w:p>
      <w:r>
        <w:t>C-4099/2021 Pagina 11 quella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agire in tal senso essendo già presenti agli atti di causa (ibidem; cfr. anche sentenza del TAF C-4523/2020 del 29 luglio 2022 consid. 10.3 con rinvii).</w:t>
      </w:r>
    </w:p>
    <w:p>
      <w:r>
        <w:rPr>
          <w:b/>
        </w:rPr>
        <w:t>E. 6.3</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29 giugno 2021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all’insorgente la facoltà di ritirare il proprio gravame. Peraltro, nelle sue osservazioni datate 1°agosto 2022 appare comunque chiara la volontà dell’insorgente, in caso di mancata approvazione da parte di questo Tribunale della proposta – come precedentemente indicato, non vincolante dell’autorità inferiore – che sia dato allora seguito alla variante di un complemento d’istruttoria, peraltro già chiesto in via subordinata dal ricorrente medesimo nel ricorso.</w:t>
      </w:r>
    </w:p>
    <w:p>
      <w:r>
        <w:rPr>
          <w:b/>
        </w:rPr>
        <w:t>E. 7.1</w:t>
      </w:r>
    </w:p>
    <w:p>
      <w:r>
        <w:t>Visto l'esito del ricorso, non sono prelevate delle spese processuali (art. 63 PA). L’anticipo sulle presunte spese processuali di CHF 832.06, versato il 9 novembre 2021, sarà restituito al ricorrente allorquando la presente sentenza sarà cresciuta in giudicato.</w:t>
      </w:r>
    </w:p>
    <w:p>
      <w:r>
        <w:rPr>
          <w:b/>
        </w:rPr>
        <w:t>E. 7.2</w:t>
      </w:r>
    </w:p>
    <w:p>
      <w:r>
        <w:t>Ritenuto che l'insorgente è rappresentato in questa sede da un man- 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w:t>
      </w:r>
    </w:p>
    <w:p>
      <w:r>
        <w:t>C-4099/2021 Pagina 12 mento istruttorio e nuova decisione). L’ammontare di quest’ultime, in as- senza di una nota dettagliata, è fissata d'ufficio (art. 14 cpv. 2 TS-TAF) in CHF 2’800.- tenuto conto del lavoro utile e necessario svolto dal rappre- sentante del ricorrente. L'indennità per ripetibili è posta a carico dell'UAIE.</w:t>
      </w:r>
    </w:p>
    <w:p>
      <w:r>
        <w:t>(dispositivo alla pagina seguente)</w:t>
      </w:r>
    </w:p>
    <w:p>
      <w:r>
        <w:t>C-4099/2021 Pagina 13 Per questi motivi, il Tribunale amministrativo federale pronun- cia: 1. Il ricorso è accolto nel senso che la decisione del 29 giugno 2021 è annul- lata e gli atti di causa sono rinviati all’UAIE affinché proceda al completa- mento dell’istruttoria ed alla pronuncia di una nuova decisione ai sensi dei considerandi. 2. Non si prelevano spese processuali. L’anticipo di CHF 832.06, corrisposto il 9 novembre 2021, sarà restituito al ricorrente dopo la crescita in giudicato della presente sentenza. 3. L’UAIE rifonderà al ricorrente CHF 2'800.- a titolo di spese ripetibili. 4. Questa sentenza è comunicata al ricorrente, all'autorità inferiore e all’UFAS.</w:t>
      </w:r>
    </w:p>
    <w:p>
      <w:r>
        <w:t>Il presidente del collegio: Il cancelliere:</w:t>
      </w:r>
    </w:p>
    <w:p>
      <w:r>
        <w:t>Vito Valenti Oliver Engel</w:t>
      </w:r>
    </w:p>
    <w:p>
      <w:r>
        <w:t>I rimedi giuridici sono menzionati alla pagina seguente.</w:t>
      </w:r>
    </w:p>
    <w:p>
      <w:r>
        <w:t>C-4099/2021 Pagina 14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