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C-4097/2010 vom 25. Juli 2012</w:t>
      </w:r>
    </w:p>
    <w:p>
      <w:r>
        <w:t>Bundesverwaltungsgericht, 2012-07-25, DE</w:t>
      </w:r>
    </w:p>
    <w:p>
      <w:r>
        <w:rPr>
          <w:b/>
        </w:rPr>
        <w:t xml:space="preserve">Quelle: </w:t>
      </w:r>
      <w:r>
        <w:t>https://mcp.opencaselaw.ch/entscheid/bvger_C-4097_2010</w:t>
      </w:r>
    </w:p>
    <w:p>
      <w:r>
        <w:t>FR: TAF C-4097/2010 du 25 juillet 2012</w:t>
      </w:r>
    </w:p>
    <w:p>
      <w:r>
        <w:t>IT: TAF C-4097/2010 del 25 luglio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67 Abs. 2 Bst. a des Ausländergesetzes vom 16. De­zember 2005 [AuG, SR 142.20])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Der Wortlaut von Art. 67 Abs. 2 Bst. a AuG entspricht der bis Ende Dezember 2010 geltenden Fassung von Art. 67 Abs. 1 Bst. a AuG (AS 2007 5437), der in der vorinstanzlichen Verfügung als Rechtsgrundlage der Fernhaltemassnahme genannt wird. Art. 67 Abs. 3 und Abs. 5 AuG finden ihre Entsprechung in der alten Fassung von Art. 67 Abs. 3 und Abs. 4 AuG (AS 2007 5437), die zwar vom Wortlaut her nicht identisch sind, in der Praxis aber den gleichen Beurteilungsspielraum boten. Die frühere Praxis der Vorinstanz bei der Ansetzung der Dauer von Fernhaltemassnahmen wurde denn auch für mit den neuen Bestimmungen vereinbar erachtet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8881, 8896). Auf die alte Fassung von Art. 67 AuG braucht somit nicht gesondert abgestellt zu werden.</w:t>
      </w:r>
    </w:p>
    <w:p>
      <w:r>
        <w:rPr>
          <w:b/>
        </w:rPr>
        <w:t>E. 3.3</w:t>
      </w:r>
    </w:p>
    <w:p>
      <w:r>
        <w:t>Die Verhängung eines Einreiseverbots nach Art. 67 AuG hat in der Regel zur Folge, dass die betroffene Person im Schengener Informationssystem (SIS) ausgeschrieben wird, sofern sie nicht einem durch die (in Anhang 1 Ziffer 1 AuG aufgeführten) Schengen-Assoziierungs­abkommen gebundenen Staat angehört. Die Ausschreibung im SIS erfolgt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Sie bewirkt, dass der Person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w:t>
      </w:r>
    </w:p>
    <w:p>
      <w:r>
        <w:t>Der Beschwerdeführer beanstandet die angefochtene Verfügung zunächst in formeller Hinsicht. Zum einen hält er die Verfügung aufgrund fehlender Unterschrift für rechtlich ungenügend, eine Auffassung, die jedoch unzutreffend ist, weil eine Unterschrift nicht zu den in Art. 35 Abs. 1 VwVG genannten wesentlichen Bestandteilen einer Verfügung gehört und gemäss der in Bezug auf Massenverfügungen entwickelten Rechtsprechung auch im vorliegenden Fall fehlen durfte (vgl. BGE 112 V 87 E. 1 und Urteil des Bundesverwaltungsgerichts C-2492/2008 vom 31. August 2009 E. 3.3). Zum anderen hält er den Sachverhalt für unvollständig abgeklärt, dies mit der Behauptung, die Vorinstanz habe seine strafrechtlichen Verurteilungen nicht als einzigen erfüllten Tatbestand betrachtet. Was der Beschwerdeführer mit dieser Behauptung zum Ausdruck bringen möchte, ist nicht ganz klar. Seinem gesamten Vorbringen lässt sich allerdings entnehmen, dass er die Verfügung für nicht ausreichend begründet hält und dadurch seinen Anspruch auf rechtliches Gehör verletzt sieht. Diesbezüglich ist jedoch festzustellen, dass die Vorinstanz die angefochtene Verfügung knapp und summarisch begründet und dabei insbesondere auf die strafrechtlichen Vorwürfe abgestellt hat, wegen denen der Beschwerdeführer mit Strafverfügung des Amts­statthalteramts Luzern vom 4. Mai 2005 und zuletzt mit Urteil des Obergerichts des Kantons Luzern vom 6. Juli 2005 verurteilt worden war. Vor dem Hintergrund der auf-geführten Delikte erklärt sich auch die aus Sicht der Vorinstanz angezeigte - und damit nicht weiter erläuterte - Verhängung eines zehnjährigen Einreiseverbots. Auf der Grundlage der in Kurzform begründeten Verfügung war der Beschwerdeführer denn auch durch­aus in der Lage, diese sachgerecht anzufechten. Die von ihm implizit erhobene Rüge der Gehörsverletzung erweist sich demnach als unbegründet (zu den Anforderungen an die Begründungspflicht: vgl. Urteil des Bundesverwaltungsgerichts C-3593/2009 vom 18. Juni 2012 E. 3.1 mit Hinweisen).</w:t>
      </w:r>
    </w:p>
    <w:p>
      <w:r>
        <w:rPr>
          <w:b/>
        </w:rPr>
        <w:t>E. 5</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(BBl 2002 3760; vgl. auch Urteil des Bundesverwaltungsgerichts C-2731/2011 vom 18. November 2011 E. 4.3 mit ausführlichen Hinweisen).</w:t>
      </w:r>
    </w:p>
    <w:p>
      <w:r>
        <w:rPr>
          <w:b/>
        </w:rPr>
        <w:t>E. 6</w:t>
      </w:r>
    </w:p>
    <w:p>
      <w:r>
        <w:t>Aus den Vorakten geht hervor, dass der Beschwerdeführer seit seiner Einreise in die Schweiz immer wieder mit dem Gesetz in Konflikt kam und zuletzt am 6. Juli 2005 durch das Obergericht des Kantons Luzern wegen Diebstahls, gewerbsmässigen Diebstahls, mehrfachen Raubes, Raubes (besondere Gefährlichkeit), mehrfacher Sachbeschädigung und mehrfachen Hausfriedensbruchs zu einer Strafe von 2 ½ Jahren Zuchthaus verurteilt wurde (vgl. Strafregisterauszug und Urteils-Kontrollliste per 24.07.2001 der Jugendanwaltschaft Luzern [S. 369 f. und S. 673 der kantonalen Akten] sowie Zusammenfassung im zitierten Urteil des Bundesgerichts 2C_493/2007 Sachverhalt B). Aufgrund dessen kann nicht in Abrede gestellt werden, dass der Beschwerdeführer im Sinne von Art. 67 Abs. 2 Bst. a AuG gegen die öffentliche Ordnung und Sicherheit verstossen und damit einen Fernhaltegrund gesetzt hat.</w:t>
      </w:r>
    </w:p>
    <w:p>
      <w:r>
        <w:rPr>
          <w:b/>
        </w:rPr>
        <w:t>E. 7</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7.1</w:t>
      </w:r>
    </w:p>
    <w:p>
      <w:r>
        <w:t>Im Falle des Beschwerdeführers fällt negativ ins Gewicht, dass sein delinquentes Verhalten in der Schweiz über mehrere Jahre hinweg andauerte. In den Jahren 1999 bis 2001 wurde er viermal von der Jugendanwaltschaft des Kantons Luzern verurteilt, zuletzt wegen Landfriedensbruchs, Gewalt und Drohung gegen Beamte sowie Sachbeschädigung zu einer bedingt vollziehbaren Strafe von 7 Tagen Einschliessung. Die ihm daraufhin angedrohte Wegweisung aus der Schweiz nahm er nicht zum Anlass, sein Verhalten zu ändern. Statt dessen wurde er in den Jahren 2002 bis 2005 noch insgesamt siebenmal verurteilt. Abgesehen von der letzten Verurteilung wurden gegen ihn zwar nur geringfügige Strafen verhängt, wobei es sich im Maximalfall um eine bedingt vollziehbare Strafe von 3 Monaten Gefängnis handelte. Seine gesamte hiesige strafrechtliche Karriere ist jedoch von Kontinuität geprägt, die in der einschneidenden Verurteilung zu 2 ½ Jahren Zuchthaus am 6. Juli 2005 durch das Obergericht des Kantons Luzern gipfelte. Dieses beurteilte sein Verschulden bezüglich der ihm vorgeworfenen Straftaten (vgl. E. 6) als insgesamt schwer und lastete ihm eine beträchtliche kriminelle Energie an; bezüglich des Vorwurfs des qualifizierten Raubes sprach das Obergericht von einem teilweise brutalen Gewaltpotenzial, das keine Nachsicht verdiene (vgl. Erwägungen 5.3 dieses Urteils [S. 372 - 395 der kantonalen Akten]). Nicht zuletzt aufgrund dieser strafrechtlichen Würdigung ist - in Übereinstimmung mit der Vorinstanz - davon auszugehen, dass der Beschwerdeführer eine schwerwiegende Gefahr für die öffentliche Sicherheit und Ordnung darstellt. Entsprechend gross ist das öffentliche Interesse an seiner langfristigen Fernhaltung, für die nach Massgabe von Art. 67 Abs. 3 AuG eine Dauer von mehr als 5 Jahren - konkret 10 Jahre - gerechtfertigt erscheint.</w:t>
      </w:r>
    </w:p>
    <w:p>
      <w:r>
        <w:rPr>
          <w:b/>
        </w:rPr>
        <w:t>E. 7.2</w:t>
      </w:r>
    </w:p>
    <w:p>
      <w:r>
        <w:t>Obwohl der Beschwerdeführer die verhängte Fernhaltemassnahme als unverhältnismässig bezeichnet hat, hat er weder in seiner Rechtsmitteleingabe noch im Rahmen des ihm zuvor gewährten rechtlichen Gehörs private bzw. familiäre Interessen genannt, die der Verhängung oder der Dauer des Einreiseverbot entgegenstehen könnten; auch die Akten lassen derartige Interessen nicht erkennen, ist doch der Beschwerdeführer seit dem 16. April 2010 rechtskräftig von seiner schweizerischen Ehefrau geschieden (vgl. S. 56 der kantonalen Akten). Statt dessen wirft er der Vorinstanz vor, die im Hinblick auf seine Erwerbstätigkeit relevanten Dokumente - Arbeitsbestätigung, Lohnabrechnung, AHV-Ausweis - nicht berücksichtigt zu haben. Auf derartige Unterlagen, die allenfalls dem Nachweis einer gewisser Integration dienen könnten, kommt es im vorliegenden Verfahren jedoch nicht an.</w:t>
      </w:r>
    </w:p>
    <w:p>
      <w:r>
        <w:rPr>
          <w:b/>
        </w:rPr>
        <w:t>E. 7.3</w:t>
      </w:r>
    </w:p>
    <w:p>
      <w:r>
        <w:t>Zusammenfassend ist festzustellen, dass das auf 10 Jahre befristete Einreiseverbot auch im gegenwärtigen Zeitpunkt unter Berücksichtigung der gängigen Praxis in vergleichbaren Fällen eine verhältnismässige und angemessene Massnahme zum Schutz der öffentlichen Ordnung darstellt. Angesichts der kriminellen Energie, welche der Beschwerdeführer über Jahre hinweg entwickelte, und insbesondere angesichts der Schwere der zuletzt abgeurteilten Straftaten sind die Voraussetzungen von Art. 67 Abs. 3 Satz 2 AuG zweifelsohne erfüllt. Hinsichtlich der SIS-Ausschreibung ist festzustellen, dass diese in Übereinstimmung mit den einschlägigen Bestimmungen (vgl. E. 3.3) erfolgte. Insbesondere wurde das der SIS-Ausschreibung zugrunde liegende Einreiseverbot von einer national zuständigen Behörde verfügt, dies im Zusammenhang mit der Verurteilung wegen Straftaten, die mit Freiheitsstrafe von mindestens einem Jahr bedroht sind (vgl. Art. 96 Ziff. 1 und Ziff. 2 Bst. a SDÜ).</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wird der unterliegende Beschwerdeführer kostenpflichtig (vgl.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