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C-4096/2011 vom 2. Mai 2012</w:t>
      </w:r>
    </w:p>
    <w:p>
      <w:r>
        <w:t>Bundesverwaltungsgericht, 2012-05-02, IT</w:t>
      </w:r>
    </w:p>
    <w:p>
      <w:r>
        <w:rPr>
          <w:b/>
        </w:rPr>
        <w:t xml:space="preserve">Quelle: </w:t>
      </w:r>
      <w:r>
        <w:t>https://mcp.opencaselaw.ch/entscheid/bvger_C-4096_2011</w:t>
      </w:r>
    </w:p>
    <w:p>
      <w:r>
        <w:t>FR: TAF C-4096/2011 du 2 mai 2012</w:t>
      </w:r>
    </w:p>
    <w:p>
      <w:r>
        <w:t>IT: TAF C-4096/2011 del 2 maggio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presente legge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si applicano quindi in concreto, mentre non sono applicabili le norme della 6a revisione della LAI (primo pacchetto di misure), in vigore dal 1° gennaio 2012 (RU 2011 5659; FF 2010 1603).</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1 LAI, nella versione in vigore fino al 31 dicembre 2007, l'assicurato aveva diritto ad una rendita intera se era invalido per almeno il 70%, a tre quarti di rendita se era invalido per almeno il 60%, ad una mezza rendita se era invalido per almeno la metà e ad un quarto di rendita se era invalido per almeno il 40%.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La ricorrente contesta la fondatezza della decisione del 9 giugno 2011, con la quale l'UAIE le ha soppresso la rendita intera d'invalidità a decorrere dal 1° agosto 2011.</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Una revisione può segnatamente giustificarsi se un altro metodo di valutazione dell'invalidità si impone (DTF 119 V 475 consid. 1b/aa con riferimenti).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7.1</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w:t>
      </w:r>
    </w:p>
    <w:p>
      <w:r>
        <w:rPr>
          <w:b/>
        </w:rPr>
        <w:t>E. 7.2</w:t>
      </w:r>
    </w:p>
    <w:p>
      <w:r>
        <w:t>In concreto, la decisione iniziale è stata pronunciata il 26 luglio 2007 (doc. 50). In seguito, dopo una domanda di revisione terminatasi con la constatazione che lo stato di salute si era modificato in modo rilevante, è stata emessa da parte della SVA, il 3 ottobre 2008 (doc. 76), una decisione riconoscente il diritto ad una rendita intera d'invalidità. L'UAIE ha quindi proceduto ad una revisione d'ufficio, conclusasi con la decisione di soppressione della rendita qui impugnata, emanata il 9 giugno 2011 (doc. 116). Ne consegue che, seguendo la giurisprudenza, il periodo di riferimento per giudicare se verosimilmente è intervenuta una modifica rilevante del grado d'invalidità, tale da giustificare la soppressione della rendita, come disposto dall'UAIE, è quello tra il 3 ottobre 2008 e il 9 giugno 2011.</w:t>
      </w:r>
    </w:p>
    <w:p>
      <w:r>
        <w:rPr>
          <w:b/>
        </w:rPr>
        <w:t>E. 8</w:t>
      </w:r>
    </w:p>
    <w:p>
      <w:r>
        <w:t>Il giudice delle assicurazioni sociali analizza la legalità della decisione impugnata, in generale, secondo lo stato di fatto esistente al momento in cui essa è stata resa (DTF 130 V 445 consid. 1.2 e 1.2.1). Egli deve esaminare in maniera obiettiva tutti i mezzi di prova, indipendentemente dalla loro provenienza, e poi decidere se i documenti messi a disposizione permettono di giungere ad un giudizio attendibile sulle pretese giuridiche litigiose (DTF 125 V 352 consid. 3a).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 concreto, visto che la ricorrente non ha più esercitato alcuna attività lucrativa dall'inizio del 2008, occorre esaminare la documentazione medica agli atti.</w:t>
      </w:r>
    </w:p>
    <w:p>
      <w:r>
        <w:rPr>
          <w:b/>
        </w:rPr>
        <w:t>E. 10.1</w:t>
      </w:r>
    </w:p>
    <w:p>
      <w:r>
        <w:t>Dalla detta documentazione e, in particolare, dai certificati medici della dott.ssa D.______, neurologa, del 21 settembre 2009 e 14 gennaio 2011 (doc. 101 e 102), dalla perizia particolareggiata E 213 della dott.ssa E.______, medico dell'INPS, del 14 gennaio 2011 (doc. 104), nonché dal rapporto finale del dott. C.______, medico dell'UAIE, del 10 marzo 2011 (doc. 106), risulta univocamente che la ricorrente soffre di una sclerosi multipla recidivante remittente.</w:t>
      </w:r>
    </w:p>
    <w:p>
      <w:r>
        <w:rPr>
          <w:b/>
        </w:rPr>
        <w:t>E. 10.2</w:t>
      </w:r>
    </w:p>
    <w:p>
      <w:r>
        <w:t>Per quanto attiene all'influenza sulla capacità lavorativa di questa patologia, la dott.ssa D.______ non si è pronunciata in proposito nei suoi certificati, né in quelli del 21 settembre 2009 e 14 gennaio 2011, né in quelli esibiti nel quadro della presente procedura, dell'11 aprile e del 21 ottobre 2011. Nella sua perizia E 213 la dott.ssa E.______ ha invece indicato, da un lato, una piena capacità lavorativa in qualsiasi tipo d'attività, anche pesanti, e, dall'altro lato, un'invalidità totale per l'attività di magazziniera da ultimo esercitata. Come rilevato dalla ricorrente nella sua replica del 2 novembre 2011, il collegio giudicante deve constatare già da ora l'evidente contraddizione, non abbisognante di particolari commenti, contenuta nella valutazione della capacità lavorativa formulata dalla dott.ssa E.______. Dal canto suo, il dott. C.______ ha espresso l'opinione, nel suo rapporto finale del 10 marzo 2011, che il secondo certificato della dott.ssa D.______ e la perizia E 213 della dott.ssa E.______ attestano, contrariamente a quanto ci si potesse attendere, un miglioramento incontestabile dello stato di salute dell'assicurata, ipotizzando che lo stesso sia intervenuto immediatamente dopo una recidiva ("poussée"), ossia in una fase di non stabilizzazione dello stato di salute. Nell'ambito di questa procedura il medico dell'UAIE si è pronunciato sul caso ancora a due riprese, il 31 maggio e il 6 dicembre 2011 (doc. 114 e 120), ribadendo il suo punto di vista, e ciò in costante riferimento alle conclusioni formulate nella perizia E 213.</w:t>
      </w:r>
    </w:p>
    <w:p>
      <w:r>
        <w:rPr>
          <w:b/>
        </w:rPr>
        <w:t>E. 10.3</w:t>
      </w:r>
    </w:p>
    <w:p>
      <w:r>
        <w:t>Visto quanto precede, il collegio giudicante considera che, dalla documentazione medica agli atti, non può essere evidenziato un miglioramento dello stato di salute della ricorrente, contrariamente a quanto affermato dal dott. C.______. A questo proposito, nella perizia E 213, la quale costituisce il fondamento della valutazione del medico dell'UAIE, sono indicate una capacità lavorativa completa per tutti i tipi d'occupazioni, anche pesanti, ed un'invalidità totale per l'attività di magazziniera da ultimo svolta. Già questa contraddizione non permette alcuna conclusione oggettiva riguardo allo stato di salute della ricorrente. Oltre a ciò, per ammissione dello stesso dott. C.______, tenuto conto delle caratteristiche generali della sclerosi multipla recidivante remittente, non ci si attendeva alcun miglioramento dello stesso. Di conseguenza, al collegio giudicante, vista questa previsione e le contraddizioni espresse nella perizia E 213, non appaiono per nulla convincenti le conclusioni relative ad un miglioramento dello stato di salute della ricorrente, tenuto conto anche del fatto che non è stata abbordata la questione dei disturbi cognitivi, i quali risultano essere alla base del riconoscimento del diritto ad una rendita intera nell'ambito della prima revisione (doc. 62). Ne discende la necessità di procedere ad un complemento istruttorio per delucidare se lo stato di salute della ricorrente sia migliorato, peggiorato o rimasto invariato nel quadro del periodo d'esame vincolante, ossia dal 3 ottobre 2008 al 9 giugno 2011, con le eventuali conseguenze sulla capacità lavorativa.</w:t>
      </w:r>
    </w:p>
    <w:p>
      <w:r>
        <w:rPr>
          <w:b/>
        </w:rPr>
        <w:t>E. 11</w:t>
      </w:r>
    </w:p>
    <w:p>
      <w:r>
        <w:t>Per i motivi sopraesposti, il ricorso deve essere parzialmente accolto, la decisione avversata annullata e la causa rinviata all'UAIE in virtù dell'art. 61 cpv. 1 PA . Secondo quest'ultima disposizione, l'autorità di ricorso decide la causa o eccezionalmente la rinvia, con istruzioni vincolanti, all'autorità inferiore. Benché questa norma permetta solo eccezionalmente di ricorrere ad una tale procedura, l'applicazione dell'eccezione prevista è tuttavia giustificata in concreto, se si considerano le contraddizioni di cui fa stato l'incarto (DTF 137 V 210, consid. 4.4.1.4). L'UAIE dovrà quindi provvedere ad una nuova valutazione della capacità lavorativa, procedendo a completare l'istruttoria dal punto di vista medico mediante una nuova perizia pluridisciplinare (neurologica, reumatologica ed anche psichiatrica), che evidenzierà pure i disturbi cognitivi della ricorrente, da eseguirsi preferibilmente presso il Servizio d'accertamento medico (SAM) di Bellinzona, e sottoporrà quindi l'intero incarto al proprio servizio medico, il quale quantificherà la capacità lavorativa dettagliando e giustificando le proprie conclusioni. Una volta che il servizio medico si sarà pronunciato in questo senso, l'UAIE dovrà esaminare in che misura la ricorrente è eventualmente atta a trarre profitto (capacità di guadagno) dalla capacità lavorativa residua in attività adeguate, disponendo, al bisogno, i provvedimenti d'integrazioni idonei. È solamente dopo avere operato questo esame che l'UAIE effettuerà, se del caso, un adeguato e circostanziato raffronto dei redditi, tenendo conto, per quanto concerne la riduzione per circostanze personali, della giurisprudenza federale in materia (in particolare, DTF 126 V 75), ed emanerà quindi una nuova decisione impugnabile.</w:t>
      </w:r>
    </w:p>
    <w:p>
      <w:r>
        <w:rPr>
          <w:b/>
        </w:rPr>
        <w:t>E. 12</w:t>
      </w:r>
    </w:p>
    <w:p>
      <w:r>
        <w:t>Secondo l'art. 63 cpv. 1 PA, le spese processuali sono di regola messe a carico della parte soccombente. In concreto, visto l'esito della procedura, non sono prelevate spese processuali, per cui la domanda di esenzione dal pagamento delle spese processuale diventa priva d'oggetto.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per cui ha dovuto sostenere spese indispensabili e relativamente elevate, è giustificato assegnarli un'indennità per spese ripetibili di Fr. 1'000.- a carico dell'UAIE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