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C-408/2015 vom 19. Dezember 2016</w:t>
      </w:r>
    </w:p>
    <w:p>
      <w:r>
        <w:t>Bundesverwaltungsgericht, 2016-12-19, DE</w:t>
      </w:r>
    </w:p>
    <w:p>
      <w:r>
        <w:rPr>
          <w:b/>
        </w:rPr>
        <w:t xml:space="preserve">Quelle: </w:t>
      </w:r>
      <w:r>
        <w:t>https://mcp.opencaselaw.ch/entscheid/bvger_C-408_2015</w:t>
      </w:r>
    </w:p>
    <w:p>
      <w:r>
        <w:t>FR: TAF C-408/2015 du 19 décembre 2016</w:t>
      </w:r>
    </w:p>
    <w:p>
      <w:r>
        <w:t>IT: TAF C-408/2015 del 19 dicembre 2016</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(BGE 132 V 1 E. 3.3.1). Die Vorsorgeeinrichtung ist ins invalidenversicherungsrechtliche Verwaltungsverfahren einbezogen worden. Die IV-Stelle hat zudem den Eintritt der invalidisierenden Arbeitsunfähigkeit auf einen Zeitpunkt (26. Oktober 2011) festgesetzt, in welchem der Beschwerdegegner bei der Pensionskasse obligatorisch vorsorgeversichert war. Da sich dies auf die Leistungspflicht der Pensionskasse auswirkt (Art. 29 Abs. 1 lit. b IVG in Verbindung mit Art. 26 Abs. 1 BVG), hat diese ein schutzwürdiges Interesse an der Überprüfung des Rentenanspruchs.</w:t>
      </w:r>
    </w:p>
    <w:p>
      <w:r>
        <w:rPr>
          <w:b/>
        </w:rPr>
        <w:t>E. 1.4</w:t>
      </w:r>
    </w:p>
    <w:p>
      <w:r>
        <w:t>Da die Beschwerde im Übrigen frist- und formgerecht (Art 60 Abs. 1 ATSG und Art. 52 Abs. 1 VwVG) eingereicht und auch der Kostenvorschuss innert Frist geleistet wurde, ist auf die Beschwerde einzutreten.</w:t>
      </w:r>
    </w:p>
    <w:p>
      <w:r>
        <w:rPr>
          <w:b/>
        </w:rPr>
        <w:t>E. 2.1</w:t>
      </w:r>
    </w:p>
    <w:p>
      <w:r>
        <w:t>Der Beschwerdegegner ist französischer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Beschwerdegegners auf eine Rente der Invalidenversicherung ausschliesslich nach dem innerstaatlichen schweizerischen Recht, insbesondere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1. Dezember 2014) eingetretenen Sachverhalt ab (BGE 129 V 1 E. 1.2 mit Hinweis). Deshalb sind vorliegend die vom Beschwerdegegner im Beschwerdeverfahren eingereichten ärztlichen Berichte, welche nach Verfügungserlass erstellt worden sind, nur insofern zu berücksichtigen, als sie sich (auch) zur Situation vor dem 1. Dezember 2014 äussern. Dies ist in Bezug auf den Austrittsbericht des Hôpital H.________ vom 27. Mai 2016 nicht der Fall, weshalb dieser nicht zu berücksichtigen ist, da ihm der nötige Sachzusammenhang zum Streitgegenstand des vorliegenden Verfahrens fehlt (vgl. BGE 116 V 80 E. 6b). Dem anderen Bericht sind keine neuen Erkenntnisse in Bezug auf die gesundheitliche Situation des Beschwerdegegners abzugewinnen, weshalb auch dieser nicht geeignet ist, einen Einfluss auf die vorliegende Beurteilung auszuüben.</w:t>
      </w:r>
    </w:p>
    <w:p>
      <w:r>
        <w:rPr>
          <w:b/>
        </w:rPr>
        <w:t>E. 2.4</w:t>
      </w:r>
    </w:p>
    <w:p>
      <w:r>
        <w:t>In materiell-rechtlicher Hinsicht ist auf jene gesetzlichen Bestimmungen abzustellen, die für die Beurteilung eines Rentenanspruchs jeweils relevant waren und in Kraft standen. Da vorliegend die Anmeldung zum Leistungsbezug im April 2012 eingereicht worden ist, ist vorliegend für die Beurteilung eines allfälligen Leistungsanspruchs auf das per 1. Januar 2012 in Kraft getretene erste Massnahmenpaket der 6. IV-Revision (IVG in der Fassung vom 18. März 2011 [AS 2011 5659] und IVV in der Fassung vom 16. November 2011 [AS 2011 5679]) abzustellen.</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der bei der IV-Stelle BL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Beschwerdegegner war Grenzgänger und hatte seine letzte Arbeitsstelle im Kanton Basel-Land; er wohnt zudem noch im benachbarten Grenzgebiet. Er hat sich somit zu Recht bei der IV-Stelle BL zum Leistungsbezug angemeldet. Der Erlass der Verfügung durch die IVSTA ist gemäss obenstehenden Ausführungen nicht zu beanstanden.</w:t>
      </w:r>
    </w:p>
    <w:p>
      <w:r>
        <w:rPr>
          <w:b/>
        </w:rPr>
        <w:t>E. 4.1</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Gemäss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4.2</w:t>
      </w:r>
    </w:p>
    <w:p>
      <w:r>
        <w:t>Gemäss Art. 28 Abs. 1 IVG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zu mindestens 40% arbeitsunfähig (Art. 6 ATSG) gewesen sind und auch nach Ablauf dieses Jahres zu mindestens 40% invalid (Art. 8 ATSG) sind (lit. b und c).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w:t>
      </w:r>
    </w:p>
    <w:p>
      <w:r>
        <w:rPr>
          <w:b/>
        </w:rPr>
        <w:t>E. 4.5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w:t>
      </w:r>
    </w:p>
    <w:p>
      <w:r>
        <w:rPr>
          <w:b/>
        </w:rPr>
        <w:t>E. 4.6</w:t>
      </w:r>
    </w:p>
    <w:p>
      <w:r>
        <w:t>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gegeben sein; fehlt eine, so entsteht kein Rentenanspruch, selbst wenn die andere erfüllt ist. Vorliegend ist unbestritten und aus den Akten ersichtlich, dass der Beschwerdegegner während mehr als drei Jahren in der Schweiz versichert war. Demzufolge hat er die dreijährige Mindestbeitragszeit in der Schweiz erfüllt.</w:t>
      </w:r>
    </w:p>
    <w:p>
      <w:r>
        <w:rPr>
          <w:b/>
        </w:rPr>
        <w:t>E. 4.7</w:t>
      </w:r>
    </w:p>
    <w:p>
      <w:r>
        <w:t>Der Rentenanspruch entsteht frühestens nach Ablauf von sechs Monaten nach Geltendmachung des Leistungsanspruchs nach Art. 29 Abs. 1 ATSG, jedoch frühestens im Monat, der auf die Vollendung des 18. Altersjahres folgt (Art. 29 Abs. 1 IVG; vgl. auch Urteil des BGer 9C_562/2012 E. 3). Somit ist vorliegend aufgrund der im April 2012 eingereichten Anmeldung ein Leistungsanspruch ab 1. Oktober 2012 zu prüfen.</w:t>
      </w:r>
    </w:p>
    <w:p>
      <w:r>
        <w:rPr>
          <w:b/>
        </w:rPr>
        <w:t>E. 5</w:t>
      </w:r>
    </w:p>
    <w:p>
      <w:r>
        <w:t>Strittig ist vorliegend, ob die Vorinstanz dem Beschwerdegegner zu Recht mit Wirkung ab 1. Oktober 2012 eine Dreiviertelsrente zugesprochen hat, und ob er allenfalls einen Anspruch auf Eingliederungsmassnahmen hat. Die Beschwerdeführerin rügt, dass dem Beschwerdegegner Eingliederungsmassnahmen hätten zugesprochen werden sollen. Darüber gibt es keine eigenständige Verfügung (vgl. aber das Schreiben der IV-Stelle BL vom 18. Oktober 2012 [IV-act. 23]), die hätte angefochten werden können. Aufgrund des im vorliegenden Verfahren geltenden Untersuchungsgrundsatzes ist vorliegend umfassend zu prüfen, welche Ansprüche der Beschwerdegegner gegenüber der Invalidenversicherung hat. Nachfolgend ist demnach abzuklären, ob der Beschwerdegegner grundsätzlich Anspruch auf eine Rente (und/oder andere Leistungen wie beispielsweise Eingliederungsmassnahmen) hat und, falls ja, in welcher Höhe und ab wann.</w:t>
      </w:r>
    </w:p>
    <w:p>
      <w:r>
        <w:rPr>
          <w:b/>
        </w:rPr>
        <w:t>E. 5.1</w:t>
      </w:r>
    </w:p>
    <w:p>
      <w:r>
        <w:t>Dem Gutachten von Dr. med. C.________, Facharzt für Psychiatrie und Psychotherapie, vom 11. September 2013 (IV-act. 47) ist die Diagnose "reaktive depressive Störung, mittelgradiges Ausmass (ICD-10 F32.1)" zu entnehmen. In Bezug auf die Arbeitsfähigkeit führte er aus, es sei nachvollziehbar, dass der Beschwerdegegner zur Zeit der Kündigung der Arbeitsstelle für kurze Zeit voll arbeitsunfähig gewesen sei; seither persistiere ein mittelschwer depressiver Zustand. Aufgrund dieses Zustands sei er psychomotorisch und kognitiv eingeschränkt, was sich in längerer Erholungszeit und Bedürfnis nach Pausen äussere. Eine halbtägige Arbeit im bisherigen Bereich oder auch in einer alternativen Tätigkeit sei ihm grundsätzlich zumutbar. Der Gutachter wies ferner darauf hin, dass die Weiterführung der psychiatrischen Therapie dringend indiziert sei, da damit die Arbeitsfähigkeit weiter gesteigert werden könne.</w:t>
      </w:r>
    </w:p>
    <w:p>
      <w:r>
        <w:rPr>
          <w:b/>
        </w:rPr>
        <w:t>E. 5.2</w:t>
      </w:r>
    </w:p>
    <w:p>
      <w:r>
        <w:t>Dr. med. D.________, Facharzt für Psychiatrie und Psychotherapie, diagnostizierte in seinem Gutachten vom 11. März 2012 (recte: 2013; IV-act. 73) das Vorliegen einer rezidivierenden depressiven Störung, gegenwärtig mittelgradige Episode mit somatischem Syndrom (ICD-10 F33.11). Er erachtete die Rückkehr an den angestammten Arbeitsplatz bei der früheren Arbeitgeberin als nicht mehr zumutbar. Er begründete dies mit dem hohen Mass an Wut, das der Beschwerdegegner aufgrund der ausgesprochenen Kündigung auf seine Arbeitgeberin entwickelt habe. Aus rein gesundheitlichen Gründen, attestierte er dem Beschwerdegegner indes lediglich eine Arbeitsunfähigkeit von 30% für die langjährig ausgeübten Tätigkeiten als Mechaniker oder im Marketingbereich. Er führte zudem aus, in seiner Einschätzung sei eine leicht verminderte Leistungsfähigkeit eingeschlossen, da die Fähigkeit, zielgerichtete Aktivitäten über längere Zeit aufrecht zu erhalten, aufgrund der leicht vorhandenen Konzentrations- und Gedächtnisstörungen reduziert sei. Ferner benötige der Beschwerdegegner vermehrt Pausen und sei nur eingeschränkt teamfähig.</w:t>
      </w:r>
    </w:p>
    <w:p>
      <w:r>
        <w:rPr>
          <w:b/>
        </w:rPr>
        <w:t>E. 5.3</w:t>
      </w:r>
    </w:p>
    <w:p>
      <w:r>
        <w:t>Dr. med. E.________, Facharzt für Psychiatrie und Psychotherapie beim RAD, hielt in seinem zusammenfassenden Bericht vom 28. Oktober 2014 (IV-act. 74) fest, dass die beiden Gutachter dieselbe Diagnose stellen, aber unterschiedliche Ansichten in Bezug auf die Arbeitsfähigkeit vertreten würden. Er gab der Beurteilung von Dr. med. C.________ den Vorzug, da diese Beurteilung in Bezug auf die Schätzung der Arbeitsfähigkeit fachkorrekt erfolgt sei. Einerseits sei es nicht zulässig, eine Gesamtbeurteilung zu machen, die aus einem (unklaren) Mix von Arbeits- und Leistungsfähigkeitseinschränkung bestehe und andererseits sei es gemäss den Kriterien von Prof. Förster und den SIM-Richtlinien anerkannt, dass eine Depression mittleren Grades eine Einschränkung der Arbeitsfähigkeit von 40-50% auslöse. Diese beiden Argumente sprächen für die Zuverlässigkeit der Beurteilung von Dr. med. C.________, weshalb auf diese abzustellen und von einer Arbeitsunfähigkeit von 50% in jeglichen Tätigkeiten auszugehen sei.</w:t>
      </w:r>
    </w:p>
    <w:p>
      <w:r>
        <w:rPr>
          <w:b/>
        </w:rPr>
        <w:t>E. 5.4</w:t>
      </w:r>
    </w:p>
    <w:p>
      <w:r>
        <w:t>Zusammenfassend ist festzuhalten, dass die beiden Gutachter (fast) dieselbe Diagnose gestellt haben. Bei der Beurteilung von Dr. med. D.________ findet sich im Vergleich zur Einschätzung von Dr. med. C.________ ein Zusatz "mit somatischem Syndrom" sowie ein Hinweis auf eine leicht akzentuierte Persönlichkeit. Ansonsten stimmt die Diagnose überein. Auch den Berichten des behandelnden Psychiaters, Dr. med. F.________, sind keine weiteren Diagnosen zu entnehmen. Dr. med. D.________ hielt sogar explizit fest (vgl. Gutachten S. 12), dass keine relevanten Diskrepanzen zu den bisherigen fachpsychiatrischen Beurteilungen bestünden. Dr. med. C.________, der sein Gutachten ein halbes Jahr nach demjenigen von Dr. med. D.________ erstellt hat, nimmt indes keinen Bezug auf dieses ausführliche und früher erstellte Gutachten. Demzufolge fehlt von gutachterlicher Seite eine Diskussion der unterschiedlichen Einschätzungen, die wünschenswert wäre. Insbesondere weil das Gutachten von Dr. med. D.________ sehr ausführlich ist und er zahlreiche Testungen durchgeführt hat, ist eine Auseinandersetzung mit den unterschiedlichen Resultaten der beiden Gutachter unabdingbar. In Bezug auf die unterschiedliche Einschätzung der Arbeitsfähigkeit hat zwar der RAD-Arzt die beiden ausführlichen Gutachten geprüft und dargelegt, aus welchen Gründen er der Beurteilung von Dr. med. C.________ den Vorzug gibt. Seine Beurteilung ist indes insofern nicht nachvollziehbar, als er bemängelt, dass Dr. med. D.________ unzulässigerweise die Begriffe Arbeits- und Leistungsfähigkeit vermische, zumal dies keineswegs gegen die gängige Gerichtspraxis verstösst (vgl. BGE 141 V 385 E. 4.2 und 117 V 271 E. 2b/cc). Ferner ist die Würdigung des RAD-Arztes insofern zu kritisieren, als er davon ausgeht, dass eine Depression mittleren Grades per se eine Einschränkung der Arbeitsfähigkeit von 40-50% auslöse. Entgegen seiner Ansicht, ist den Leitlinien der Schweizerischen Gesellschaft für Versicherungspsychiatrie für die Begutachtung psychischer Störungen vom 13. November 2003 zu entnehmen, dass sich die Arbeitsunfähigkeit nicht direkt aus der Diagnose, sondern aus der störungsbedingten Einschränkung der Funktionen und dem Schweregrad der Einschränkung ergibt (vgl. Schweizerische Ärztezeitung 2004; 85: Nr. 20 S. 1051). Es ist deshalb nicht möglich, direkt aus der Diagnose einen zuverlässigen Schluss auf die Arbeitsfähigkeit zu ziehen, ohne die weiteren Umstände des konkreten Falles zu berücksichtigen. Seine Schlussfolgerung, das Gutachten von Dr. med. C.________ sei zuverlässiger, weil es den gängigen Richtlinien entspreche, ist somit nicht zutreffend. Vielmehr hätten der RAD-Arzt und die begutachtenden Ärzte zur Bestimmung der Arbeitsfähigkeit die bereits vorhandenen Einschätzungen und die durchgeführten Testungen diskutieren und gegeneinander abwägen müssen, was vorliegend jedoch unterlassen worden ist. Damit fehlt es den sich in den Akten befindlichen medizinischen Berichten an der erforderlichen Überzeugungs- und Beweiskraft. Unter diesen Umständen kann auch die Stellungnahme des Medizinischen Dienstes keine abschliessende Beurteilungsgrundlage bilden. Somit ist es dem Bundesverwaltungsgericht nicht möglich, aufgrund der Akten mit dem im Sozialversicherungsrecht erforderlichen Beweisgrad der überwiegenden Wahrscheinlichkeit zu beurteilen, ob und gegebenenfalls in welchem Umfang und ab wann Anspruch auf Leistungen der Invalidenversicherung besteht. Vielmehr sind dazu weitere medizinische Abklärungen respektive Präzisierungen und eine Auseinandersetzung mit den widersprüchlichen Angaben in den Berichten notwendig.</w:t>
      </w:r>
    </w:p>
    <w:p>
      <w:r>
        <w:rPr>
          <w:b/>
        </w:rPr>
        <w:t>E. 5.5</w:t>
      </w:r>
    </w:p>
    <w:p>
      <w:r>
        <w:t>Die Beschwerdeführerin beantragte im Rahmen ihrer Beschwerde die Rückweisung der Sache zur weiteren Abklärung an die Vorinstanz.</w:t>
      </w:r>
    </w:p>
    <w:p>
      <w:r>
        <w:rPr>
          <w:b/>
        </w:rPr>
        <w:t>E. 5.5.1</w:t>
      </w:r>
    </w:p>
    <w:p>
      <w:r>
        <w:t>Gemäss neuer bundesgerichtlicher Rechtsprechung können die Sozialversicherungsgerichte nicht mehr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5.5.2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5.5.3</w:t>
      </w:r>
    </w:p>
    <w:p>
      <w:r>
        <w:t>Hier liegen zwar vom Bundesverwaltungsgericht zu würdigende Administrativgutachten im Recht, aber strittig und zu beurteilen sind schlussendlich auch die eigenständigen Schlussfolgerungen im Aktenbericht des Medizinischen Dienstes der IVSTA, die - wie bereits ausgeführt - aufgrund der dargelegten Mängel nicht als Entscheidgrundlage dienen können. Eine Aktenbeurteilung ohne eingehende Diskussion der in den Gutachten divergierend beurteilten Punkte war unter diesen Umständen offensichtlich unzulässig, was zwangsläufig zu einer Präzisierung der vorhandenen Unterlagen hätte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Daher und aufgrund dessen, dass vorliegend aufgrund der Aktenlage die Arbeitsfähigkeit des Beschwerdeführers nicht abschliessend beurteilt werden konnte, ist die Angelegenheit zur Vornahme weiterer medizinischer Abklärungen an die Vorinstanz zurückzuweisen. Danach wird die Vorinstanz weiter zu prüfen haben, ob sich aufgrund der vervollständigten Aktenlage ein Prozentvergleich zur Bestimmung des Invaliditätsgrades weiterhin vertreten lässt.</w:t>
      </w:r>
    </w:p>
    <w:p>
      <w:r>
        <w:rPr>
          <w:b/>
        </w:rPr>
        <w:t>E. 5.6</w:t>
      </w:r>
    </w:p>
    <w:p>
      <w:r>
        <w:t>Der Vollständigkeit ist darauf hinzuweisen, dass die IV-Stelle BL den Beschwerdegegner mit Schreiben vom 11. Dezember 2014 (IV-act. 77) aufgefordert hat, zur Verbesserung der Erwerbsfähigkeit medizinische Massnahmen (eine fachärztliche, frequenzadäquate, ambulante Psycho[pharmako]therapie mit regelmässigem Compliance-Check) in die Wege zu leiten. Da diese Massnahme nicht unter die Leistungspflicht der IV fällt (vgl. Art. 12 Abs. 1 IVG), hat sich der Beschwerdegegner selber darum zu bemühen. Die Vorinstanz wird das Einhalten dieser Auflage im Rahmen der Neuverfügung oder später im Rahmen einer Revision überprüfen und gegebenenfalls die nötigen Massnahmen treffen. Dies ist nicht zu beanstanden, da ein allfälliger Rentenanspruch so lange bestehen bliebe, als die Erwerbsunfähigkeit nicht mit geeigneten Eingliederungsmassnahmen tatsächlich behoben oder in einer für den Rentenanspruch erheblichen Weise verringert würde, oder aber so lange, bis aufgrund des Mahn- und Bedenkzeitverfahrens nach Art. 21 Abs. 4 ATSG zur Sanktion der Rentenkürzung oder -verweigerung geschritten werden kann. Der gleiche Grundsatz hat auch hinsichtlich der Massnahmen der Selbsteingliederung zu gelten, so lange solche noch nicht durchgeführt sind und noch keine Aufforderung zur Mitwirkung im Sinn von Art. 21 Abs. 4 ATSG erfolgt ist (in BGE 122 V 218 nicht publizierte E. 5a [AHI 1997 S. 41]; Urteil des BGer I 291/05 vom 31. März 2006 E. 3.2,; vgl. auch Urteile des BGer 9C_438/2009 vom 26. März 2010 E. 4, 9C_842/2010 vom 26. Januar 2011 E. 2, 9C_819/2013 vom 20. März 2014).</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Die Rückweisung der Sache an die Verwaltung zu weiteren Abklärung und neuer Verfügung gilt im Sozialversicherungsrecht praxisgemäss als volles Obsiegen der Beschwerde führenden Partei (BGE 137 V 210 E. 7.1 und 132 V 215 E. 6). Einer unterliegenden Vorinstanz sind keine Gerichtskosten aufzuerlegen (vgl. Art. 63 Abs. 2 VwVG). Der geleistete Kostenvorschuss in der Höhe von Fr. 800.- ist der Beschwerdeführerin nach Eintritt der Rechtskraft auf ein von ihr bekannt zu gebendes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Beschwerdeführerin war vorliegend nicht berufsmässig vertreten, weshalb davon auszugehen ist, dass ihr keine verhältnismässig hohen Kosten entstanden sind und ihr somit keine Entschädigung zuzusprechen ist. Der berufsmässig vertretene Beschwerdegegner hat sich vorliegend nur insofern am Verfahren beteiligt, als er nach durchgeführtem Schriftenwechsel ungefragt zwei Arztberichte ohne weiteren inhaltlichen Ausführungen einreichen liess. Es ist davon auszugehen, dass ihm damit keine verhältnismässig hohen Kosten entstanden sind,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