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C-4064/2013 vom 18. Juni 2014</w:t>
      </w:r>
    </w:p>
    <w:p>
      <w:r>
        <w:t>Bundesverwaltungsgericht, 2014-06-18, DE</w:t>
      </w:r>
    </w:p>
    <w:p>
      <w:r>
        <w:rPr>
          <w:b/>
        </w:rPr>
        <w:t xml:space="preserve">Quelle: </w:t>
      </w:r>
      <w:r>
        <w:t>https://mcp.opencaselaw.ch/entscheid/bvger_C-4064_2013</w:t>
      </w:r>
    </w:p>
    <w:p>
      <w:r>
        <w:t>FR: TAF C-4064/2013 du 18 juin 2014</w:t>
      </w:r>
    </w:p>
    <w:p>
      <w:r>
        <w:t>IT: TAF C-4064/2013 del 18 giugno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des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dominikanischen Staatsangehörigen um Erteilung eines Visums für einen 14-tägigen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dominikanischen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w:t>
      </w:r>
    </w:p>
    <w:p>
      <w:r>
        <w:rPr>
          <w:b/>
        </w:rPr>
        <w:t>E. 5.3.1</w:t>
      </w:r>
    </w:p>
    <w:p>
      <w:r>
        <w:t>In der Dominikanischen Republik sind zweifellos breite Bevölkerungsschichten von vergleichsweise schwierigen wirtschaftlichen Lebensbedingungen betroffen. Die dortige Wirtschaft zeichnete sich zwar über Jahre hinweg durch solide jährliche Wachstumsraten aus, die nun aber seit 2011 rückläufig sind (2012 betrug das Wachstum noch rund 4% und im ersten Halbjahr 2013 lag es bei 1,6%). Die Einkommensverteilung ist zunehmend ungleich, was (in Verbindung mit stark angestiegenen Preisen für Grundversorgungsgüter) zu vermehrten sozialen Protesten führt. Die wichtigsten Einnahmequellen sind der Tourismus, Transferzahlungen der im Ausland lebenden Dominikaner und die Exportgewinne aus den Freihandelszonen. Die Netto-Transferzahlungen der im Ausland lebenden Dominikaner machen rund 6% des Bruttoinlandprodukts aus, sind jedoch seit einigen Jahren rückläufig. Der überwiegende Teil der Zahlungen stammt aus den USA und Europa (Quelle: Webseite des deutschen Auswärtigen Amtes: www.auswaertiges-amt.de, Aussen- und Europapolitik &gt; Länderinformationen &gt; Dominikanische Republik &gt; Wirtschaft, Stand: September 2013; abgerufen am 2. April 2014). Die Dominikanische Republik hat die höchste Arbeitslosenquote in Lateinamerika und der Karibik. Sie lag 2013 bei rund 15% und zeugt von strukturellen Schwächen der dortigen Wirtschaft (vgl. zum Ganzen Urteil des Bundesverwaltungsgerichts C-6495/2012 vom 8. Oktober 2013 E. 5.2 mit weiteren Hinweisen). Vor dem aufgezeigten wirtschaftlichen Hintergrund ist vor allem bei Teilen der jüngeren Bevölkerung ein starker Migrationsdruck festzustellen.</w:t>
      </w:r>
    </w:p>
    <w:p>
      <w:r>
        <w:rPr>
          <w:b/>
        </w:rPr>
        <w:t>E. 5.3.2</w:t>
      </w:r>
    </w:p>
    <w:p>
      <w:r>
        <w:t>Im Falle der Schweiz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mittlerweile 33-jährige Frau, die ihr Heimatland nach Feststellung der schweizerischen Auslandvertretung bisher noch nie verlassen hat. Sie ist nicht verheiratet, hat aber zwei Kinder, die im Zeitpunkt des Visumsantrags sieben bzw. eineinhalb Jahre alt waren. Ob sie mit ihren Kindern alleine oder in familiärer Gemeinschaft mit nahen Angehörigen lebt, kann den Akten nicht entnommen werden. Bekannt ist lediglich, dass an ihrem Wohnort noch weitere nahe Angehöre leben. Als Mutter zweier Kinder dürfte die Gesuchstellerin durchaus familiäre Verpflichtungen im Heimatland haben. Das Zurücklassen minderjähriger Kinder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vorliegend - die Betreuung eigener Kinder durch nahe Angehörige sichergestellt werden kann und die rechtliche Möglichkeit besteht, diese Kinder später nachziehen zu können.</w:t>
      </w:r>
    </w:p>
    <w:p>
      <w:r>
        <w:rPr>
          <w:b/>
        </w:rPr>
        <w:t>E. 6.2</w:t>
      </w:r>
    </w:p>
    <w:p>
      <w:r>
        <w:t>Die Gesuchstellerin geht offenbar noch zur Schule und möchte in absehbarer Zeit einen Mittelschulabschluss erreichen. Zur Art und Weise, wie sie sich ihr finanzielles Auskommen erwirtschaftet, geben die Akten kein vollständiges Bild. In ihrem Visumsantrag vermerkte die Gesuchstellerin unter der entsprechenden Rubrik die Adresse ihrer Schule, hingegen keinen Arbeitgeber. Die Schweizerische Vertretung in Santo Domingo ging davon aus, sie sei arbeitslos. Der Beschwerdeführer vermerkte in seiner schriftlichen Auskunft an die Adresse der kantonalen Migrationsbehörde, die Gesuchstellerin arbeite als Verkäuferin in einem Supermarkt und daneben gelegentlich in einem Spielcasino (Antwort Ziff. 6 auf dem Fragebogen der Migrationsbehörde des Kantons Zug). In welchen wirtschaftlichen Verhältnissen sich die Gesuchstellerin befindet, ist nicht bekannt. Aufgrund dieser Aktenlage kann jedenfalls nicht von einer beruflichen Verankerung oder auch nur von vorteilhaften wirtschaftlichen Verhältnissen ausgegangen werden, die nachhaltig von einer Emigration abzuhalten vermöchten.</w:t>
      </w:r>
    </w:p>
    <w:p>
      <w:r>
        <w:rPr>
          <w:b/>
        </w:rPr>
        <w:t>E. 6.3</w:t>
      </w:r>
    </w:p>
    <w:p>
      <w:r>
        <w:t>Vor dem dargelegten allgemeinen und persönlichen Hintergrund durfte die Vorinstanz demnach willkürfrei davon ausgehen, dass keine hinreichende Gewähr für eine fristgerechte und anstandslose Wiederausreise der Gesuchstellerin nach einem Besuchsaufenthalt besteht. An dieser Beurteilung ändert die Tatsache nichts, dass der Beschwerdeführer die in Art. 7 Abs. 1 VEV geregelte Verpflichtungserklärung abgegeben und damit sein Vertrauen in ein rechtskonformes Verhalten seines Gastes zum Ausdruck gebracht hat. Bei der Risikobeurteilung ist in erster Linie das mögliche Verhalten des Gastes selbst von Bedeutung. Als Gastgeber kann der Beschwerdeführer mit rechtlich verbindlicher Wirkung zwar für gewisse finanzielle Risiken im Zusammenhang mit dem Besuchsaufenthalt, nicht aber für ein bestimmtes Tun oder Unterlassen seines Gastes einstehen (vgl. in diesem Zusammenhang auch BVGE 2009/27 E. 9). In Betracht zu ziehen ist schliesslich auch, dass der Beschwerdeführer die Gesuchstellerin noch nicht besonders lange kennt. Er hat sie im Dezember 2012 anlässlich einer Ferienreise kennengelernt. Ob es seither zu weiteren Begegnungen gekommen und wie eng der Kontakt zwischen den beiden ist, kann den Akten zwar nicht entnommen werden. Unter den gegebenen Umständen sind aber Vorbehalte sicherlich am Platz, wenn es darum geht, die kurz- oder mittelfristige Lebensplanung gegenseitig abzuschätzen.</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E. 4.5) wurden vom Beschwerdeführer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