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C-4052/2008 vom 25. Juni 2010</w:t>
      </w:r>
    </w:p>
    <w:p>
      <w:r>
        <w:t>Bundesverwaltungsgericht, 2010-06-25, FR</w:t>
      </w:r>
    </w:p>
    <w:p>
      <w:r>
        <w:rPr>
          <w:b/>
        </w:rPr>
        <w:t xml:space="preserve">Quelle: </w:t>
      </w:r>
      <w:r>
        <w:t>https://mcp.opencaselaw.ch/entscheid/bvger_C-4052_2008</w:t>
      </w:r>
    </w:p>
    <w:p>
      <w:r>
        <w:t>FR: TAF C-4052/2008 du 25 juin 2010</w:t>
      </w:r>
    </w:p>
    <w:p>
      <w:r>
        <w:t>IT: TAF C-4052/2008 del 25 giugno 2010</w:t>
      </w:r>
    </w:p>
    <w:p>
      <w:pPr>
        <w:pStyle w:val="Heading2"/>
      </w:pPr>
      <w:r>
        <w:t>Regeste</w:t>
      </w:r>
    </w:p>
    <w:p>
      <w:r>
        <w:t>Mesures de réadaptation</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LTAF. En particulier, les décisions rendues par l'Office de l'assurance-invalidité pour les assurés résidant à l'étranger (OAIE) concernant l'octroi de rente d'invalidité peuvent être contestées devant le Tribunal administratif fédéral conformément à l'art. 69 al. 1 let. b de la loi fédérale du 19 juin 1959 sur l'assurance-invalidité (LAI, RS 831.20).</w:t>
      </w:r>
    </w:p>
    <w:p>
      <w:r>
        <w:rPr>
          <w:b/>
        </w:rPr>
        <w:t>E. 1.2</w:t>
      </w:r>
    </w:p>
    <w:p>
      <w:r>
        <w:t>L'art. 40 du règlement du 17 janvier 1961 sur l'assurance-invalidité (RAI, RS 831.201) précise les compétences des offices AI cantonaux et de l'OAIE. Ce dernier est ainsi compétent pour enregistrer et examiner les demandes des assurés domiciliés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Il appartient à l'OAIE de notifier les décisions (art. 40 al. 2 RAI dernière phrase). L'art. 40 al. 3 RAI dispose encore que l'office AI compétent lors de l'enregistrement de la demande le demeure durant toute la procédure.</w:t>
      </w:r>
    </w:p>
    <w:p>
      <w:r>
        <w:rPr>
          <w:b/>
        </w:rPr>
        <w:t>E. 1.3</w:t>
      </w:r>
    </w:p>
    <w:p>
      <w:r>
        <w:t>En vertu de l'art. 3 let. dbis PA la procédure en matière d'assurances sociales n'est pas régie par la cette loi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États membres sur la libre circulation des personnes du 21 juin 1999 (ALCP, RS 0.142.112.681) est entré en vigueur le 1er juin 2002. A cette date sont également entrés en vigueur son Annexe II qui règle la coordination des systèmes de sécurité sociale, le Règlement (CEE) n°1408/71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 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w:t>
      </w:r>
    </w:p>
    <w:p>
      <w:r>
        <w:t>S'agissant du droit applicable, il convient donc encore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En l'espèce, le recourant a déposé sa demande de prestations AI le 7 février 2008 et la décision litigieuse a été prononcée le 19 mai 2008. Les dispositions de la 5ème révision de la LAI et de la LPGA entrées en vigueur le 1er janvier 2008 sont donc applicables et les dispositions citées ci-après sont, sauf précision contraire, celles en vigueur à compter du 1er janvier 2008. Selon une jurisprudence constante, le juge des assurances sociales apprécie la légalité des décisions attaquées, en règle générale, d'après l'état de fait existant jusqu'au moment où la décision litigieuse a été rendue (ATF 116 V 246 consid. 1a et les arrêts mentionnés).</w:t>
      </w:r>
    </w:p>
    <w:p>
      <w:r>
        <w:rPr>
          <w:b/>
        </w:rPr>
        <w:t>E. 5</w:t>
      </w:r>
    </w:p>
    <w:p>
      <w:r>
        <w:t>Tout requérant doit remplir cumulativement les conditions suivantes pour avoir droit à une rente de l'assurance invalidité suisse: être invalide au sens de la LPGA/LAI et avoir versé de cotisations, durant trois années au total, dont au moins une en Suisse, auprès d'une assurance sociale assimilée d'un État membre de l'Union européenne (UE) ou de l'Association européenne de libre échange (FF 2005 p. 4291; art. 45 du règlement 1408/71). En l'occurrence, le recourant a versé des cotisations à l'AVS/AI suisse pendant plus de trois années au total et remplit, partant, la condition de la durée minimale de cotisations. Il reste dès lors à examiner si l'intéressé est 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6.2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 l'ALCP, les ressortissants d'un État membre de la Communauté européenne qui présentent un degré d'invalidité de 40% au moins, ont droit à un quart de rente s'ils ont leur domicile et leur résidence habituelle sur le sol d'un État membre.</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(art. 28 al. 1 let. a LAI); b) il a présenté une incapacité de travail (art. 6 LPGA) d'au moins 40% en moyenne durant une année sans interruption notable (art. 28 al. 1 let. b LAI); c) au terme de cette année il est invalide (art. 8 LPGA) à 40% au moins (art. 28 al. 1 let. c LAI).</w:t>
      </w:r>
    </w:p>
    <w:p>
      <w:r>
        <w:rPr>
          <w:b/>
        </w:rPr>
        <w:t>E. 6.4</w:t>
      </w:r>
    </w:p>
    <w:p>
      <w:r>
        <w:t>En outre, en application de l'art. 29 al. 1 LAI, le droit à la rente prend naissance au plus tôt à l'échéance d'une période de six mois à compter de la date à laquelle l'assuré a fait valoir son droit aux prestations. En l'occurrence, A._______ a déposé sa demande de prestations le 7 février 2008, de sorte que son droit à une rente pourrait prendre naissance au plus tôt le 7 août 2008.</w:t>
      </w:r>
    </w:p>
    <w:p>
      <w:r>
        <w:rPr>
          <w:b/>
        </w:rPr>
        <w:t>E. 7</w:t>
      </w:r>
    </w:p>
    <w:p>
      <w:r>
        <w:t>L'art. 8 al. 1 LAI prévoit que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l'al. 3 let. b de cette disposition, les mesures d'ordre professionnel (orientation professionnelle, formation professionnelle initiale, reclassement professionnel, service de placement) sont au nombre des mesures de réadaptation. Selon l'art. 9 al. 1 LAI, les mesures de réadaptation sont appliquées en Suisse, et peuvent l'être exceptionnellement à l'étranger. Un assuré a droit au reclassement dans une nouvelle profession si son invalidité rend nécessaire le reclassement et si sa capacité de gain peut ainsi, selon toute vraisemblance, être sauvegardée ou améliorée de manière notable (art. 17 LAI). Tel n'est en principe pas le cas si l'assuré ne subit pas, même en l'absence d'une telle mesure de reclassement, une diminution de sa capacité de gain de l'ordre de 20% au moins (ATF 124 V 108 consid. 2b). Par reclassement, il faut entendre l'ensemble des mesures de réadaptation de nature professionnelle qui sont nécessaires et suffisantes pour procurer à l'assuré une possibilité de gain à peu près équivalente à celle que lui offrait son ancienne activité. La notion d'équivalence ne se rapporte pas tant au niveau de formation qu'à la possibilité de gain qu'on peut attendre d'un reclassement. En principe l'intéressé n'a droit qu'aux mesures nécessaires et appropriées au but de la réadaptation, mais pas aux mesures les meilleures possible d'après les circonstances du cas (ATF 124 V 108 et les références citées, en particulier ATF 122 V 79, 121 V 260, 118 V 212, 110 V 102). Selon l'art. 16 LPGA, la réadaptation est prioritaire par rapport à l'octroi de la rente, qui est versée dans la mesure où la réadaptation a échoué (ATF 126 V 241 consid. 5, 108 V 210 consid. 1d).</w:t>
      </w:r>
    </w:p>
    <w:p>
      <w:r>
        <w:rPr>
          <w:b/>
        </w:rPr>
        <w:t>E. 8.1</w:t>
      </w:r>
    </w:p>
    <w:p>
      <w:r>
        <w:t>La notion d'invalidité de l'art. 28 al. 1 let. c LAI,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méthode générale).</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8.3</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w:t>
      </w:r>
    </w:p>
    <w:p>
      <w:r>
        <w:t>Depuis la fin des rapports de service survenue le 30 novembre 2007, A._______ n'a plus repris d'activité lucrative. Au vu de la cessation de l'activité lucrative, il convient de se référer, à l'instar de l'autorité intimée, à l'appréciation des médecins. En outre, le recourant ayant exercé son activité habituelle à plein temps jusqu'au 16 mars 2007, il ne saurait y avoir d'invalidité au sens de la loi avant cette date. Au demeurant, il convient de préciser à toutes fins utiles que les atteintes à la santé qui ont existé jusqu'à cette dernière date ne peuvent être considérées comme étant invalidantes dans la mesure où elles n'ont jamais empêché le recourant d'exercer son activité d'opérateur CNC.</w:t>
      </w:r>
    </w:p>
    <w:p>
      <w:r>
        <w:rPr>
          <w:b/>
        </w:rPr>
        <w:t>E. 10</w:t>
      </w:r>
    </w:p>
    <w:p>
      <w:r>
        <w:t>Dans la décision entreprise et les écrits produits pendant la procédure de recours, l'autorité intimée a estimé que A._______ ne présentait pas, jusqu'au jour du prononcé de la décision entreprise, une incapacité de travail suffisante pour ouvrir le droit à une rente, dans la mesure où l'incapacité de gain qui en résultait ne dépassait pas 40%. Le recourant a en substance avancé qu'il ne pouvait plus exercer son activité habituelle et que l'OAIE s'était prononcé sur sa capacité de travail résiduelle sans qu'il ait été soumis à une évaluation de ses possibilités de réadaptation.</w:t>
      </w:r>
    </w:p>
    <w:p>
      <w:r>
        <w:rPr>
          <w:b/>
        </w:rPr>
        <w:t>E. 10.1</w:t>
      </w:r>
    </w:p>
    <w:p>
      <w:r>
        <w:t>En date du 16 mars 2007, le recourant a été victime d'un accident du travail avec chute au cours de laquelle il a tapé la région cervico-occipitale gauche contre une table tout en se retenant avec le bras gauche. Le diagnostic qui a été posé le jour même par la Drsse D._______ décrit une élongation du trapèze gauche, une élongation du tendon épitrochléen gauche, une entorse cervicale et une hernie discale C5-C6. Suite à la prise en charge par la Suva, le recourant a bénéficié d'indemnités journalières en raison d'une incapacité de travail jusqu'à la fin du mois de février 2008. Avant cette date, A._______ a séjourné à la CRR où les médecins, dans leur rapport du 22 novembre 2007, ont pu constater qu'il connaissait des limitations fonctionnelles liées avant tout à la ceinture scapulaire et à la nuque, ce qui interdisait qu'on exige de lui qu'il reprenne son activité précédente, mais qui lui permettraient néanmoins d'accéder à des activités de substitution adaptées. Cette appréciation a été émise après un séjour du 24 octobre au 21 novembre 2007, soit près d'un mois au cours duquel ont été mis en oeuvre de nombreuses consultations spécialisées liées aux différentes plaintes de l'intéressé, en particulier le recourant a été examiné du point de vue neurologique, de l'appareil locomoteur et psychiatrique. La Clinique Médicale de Chêne-Bourg a d'ailleurs formulé des conclusions similaires. Il est encore à relever que, depuis son séjour à la CRR, le recourant n'a fait état d'aucune autre plainte. De son côté, le médecin du SMR conclut qu'une activité adaptée respectant les limitations fonctionnelles, en particulier sans contrainte physique importante à la ceinture scapulaire, ne demandant pas le maintien prolongé de la nuque en extension et des mouvements répétés de rotation/inclinaison latérale cervicale de grande amplitude, peut être exercée à 100% dès le 21 novembre 2007 (fin du séjour auprès de la CRR).</w:t>
      </w:r>
    </w:p>
    <w:p>
      <w:r>
        <w:rPr>
          <w:b/>
        </w:rPr>
        <w:t>E. 10.2</w:t>
      </w:r>
    </w:p>
    <w:p>
      <w:r>
        <w:t>Le Tribunal de céans ne peut que constater sur la base de ce qui précède que l'assuré présente une incapacité totale dans sa profession habituelle d'opérateur CNC depuis le 13 mars 2007. Toutefois, l'autorité de céans ne voit pas en quoi A._______ aurait été empêché d'accomplir dès le 21 novembre 2007 à plein temps une activité adaptée à sa condition en considération des limitations fonctionnelles dues à son état de santé, telles qu'elles ont été reconnues de manière unanime par tous les médecins consultés.</w:t>
      </w:r>
    </w:p>
    <w:p>
      <w:r>
        <w:rPr>
          <w:b/>
        </w:rPr>
        <w:t>E. 11</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 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 par l'Office fédéral de la statistique (ATF 126 V 75 consid. 3b/aa et bb). En l'occurrence, le recourant n'a ni présenté de chiffre concernant un éventuel salaire qu'il réaliserait dans une activité adaptée à son handicap ni même allégué avoir une telle activité. Dès lors, le fait que l'OAIE se soit référé à l'ESS pour déterminer le revenu résultant d'une activité qu'on peut raisonnablement attendre du recourant en considération de son état de santé n'est en soi pas critiquable. Dans ce contexte, c'est à juste titre que l'autorité intimée s'est fondée sur l'ESS pour établir le revenu de l'intéressé sans invalidité. En effet, en ce qui concerne l'évaluation de l'invalidité qui s'effectue en comparant le revenu d'invalide à celui sans invalidité, il importe que les deux termes de la comparaison soient effectivement commensurables et qu'ils se rapportent donc à un même marché du travail et soient issus d'une même base.</w:t>
      </w:r>
    </w:p>
    <w:p>
      <w:r>
        <w:rPr>
          <w:b/>
        </w:rPr>
        <w:t>E. 11.1</w:t>
      </w:r>
    </w:p>
    <w:p>
      <w:r>
        <w:t>En l'espèce, il convient de procéder à une évaluation de l'invalidité selon la méthode générale par une comparaison de revenus entre le salaire théorique que l'assuré aurait pu gagner en Suisse dans sa dernière activité en Suisse avec un revenu théorique selon les activités de substitution légères et adaptées à ses limitations fonctionnelles. Vu les circonstances, il s'agit de comparer les revenus en fonction de ce qu'ils étaient, ou auraient pu être, en 2007, année à partir de laquelle, selon l'avis des médecins, le recourant aurait pu reprendre une activité lucrative de substitution, et non en 2006 ainsi que l'a fait l'OAIE.</w:t>
      </w:r>
    </w:p>
    <w:p>
      <w:r>
        <w:rPr>
          <w:b/>
        </w:rPr>
        <w:t>E. 11.1.1</w:t>
      </w:r>
    </w:p>
    <w:p>
      <w:r>
        <w:t>Selon les indications fournies par l'employeur à l'OAI-GE, le recourant a perçu un salaire annuel en 2006 de Fr. 64'125.--.</w:t>
      </w:r>
    </w:p>
    <w:p>
      <w:r>
        <w:rPr>
          <w:b/>
        </w:rPr>
        <w:t>E. 11.1.2</w:t>
      </w:r>
    </w:p>
    <w:p>
      <w:r>
        <w:t>Les activités de substitution exigibles à plein temps, sont des activités légères comparables à des activités simples et répétitives, de niveau de qualification 4 selon le Tableau TA1 toute branche économique confondue (revenu mensuel selon l'ESS 2006: Fr. 4'732.--). Adapté au nombre d'heures hebdomadaires effectuées en moyenne en 2006 dans ce secteur (41.78 h/sem.; La Vie économique 12-2008, B 9.2), ce revenu correspond à Fr. 4'933.--, soit Fr. 59'197.-- par an. Compte tenu de l'âge de l'assuré, de son handicap, et du fait qu'il ne peut exercer que des activités adaptées, il se justifie d'opérer, à l'instar de l'administration, une réduction du salaire d'invalide de 10%, étant entendu que l'abaissement maximal pour raison d'âge et de handicap admis par la jurisprudence est de 25% (ATF 126 V 728 consid. 5) et que, dans ce contexte A._______ ne présente pas de véritables limitations fonctionnelles en relation avec les activités de substitution envisagées et peut effectuer ces dernières à plein temps. Le salaire d'invalide théorique dans des activités de substitution exigibles à plein temps, s'établit donc à Fr. 53'278.-.</w:t>
      </w:r>
    </w:p>
    <w:p>
      <w:r>
        <w:rPr>
          <w:b/>
        </w:rPr>
        <w:t>E. 11.1.3</w:t>
      </w:r>
    </w:p>
    <w:p>
      <w:r>
        <w:t>La comparaison du revenu sans invalidité de Fr. 64'125.-- au revenu d'invalide de Fr. 53'278.-- fait apparaître un préjudice économique de 17% en 2006. Ce taux, qui reste inchangé même si on tient compte de l'évolution des salaires de 1.5% et 1.6% respectivement entre 2006 et 2007 (La Vie économique 12-2008, B 10.2), n'est pas suffisant pour ouvrir le droit à une rente ou à des mesures professionnelles.</w:t>
      </w:r>
    </w:p>
    <w:p>
      <w:r>
        <w:rPr>
          <w:b/>
        </w:rPr>
        <w:t>E. 11.2</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Meyer-Blaser, Zum Verhältnismässigkeitsgrundsatz im staatlichen Leistungsrecht, thèse, Berne 1985, p. 131). Dans ce contexte il convient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175/04du 28 janvier 2005 consid. 3 ; Jurisprudence et pratique administrative des autorités d'exécution de l'AVS/AI (VSI) 1999 p. 247 consid. 1, 1998 p. 296 consid. 3b).</w:t>
      </w:r>
    </w:p>
    <w:p>
      <w:r>
        <w:rPr>
          <w:b/>
        </w:rPr>
        <w:t>E. 11.3</w:t>
      </w:r>
    </w:p>
    <w:p>
      <w:r>
        <w:t>Le recours est par conséquent rejeté et la décision du 19 mai 2008 est confirmée.</w:t>
      </w:r>
    </w:p>
    <w:p>
      <w:r>
        <w:rPr>
          <w:b/>
        </w:rPr>
        <w:t>E. 12.1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applicable par renvoi de l'art. 37 LTAF). Or, en l'espèce il ressort des pièces produites que le recourant est indigent. De plus, son recours ne paraissait d'emblée voué à l'échec, de sorte qu'il convient de le mettre au bénéfice de assistance judiciaire.</w:t>
      </w:r>
    </w:p>
    <w:p>
      <w:r>
        <w:rPr>
          <w:b/>
        </w:rPr>
        <w:t>E. 12.2</w:t>
      </w:r>
    </w:p>
    <w:p>
      <w:r>
        <w:t>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