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C-4044/2009 vom 28. Januar 2011</w:t>
      </w:r>
    </w:p>
    <w:p>
      <w:r>
        <w:t>Bundesverwaltungsgericht, 2011-01-28, DE</w:t>
      </w:r>
    </w:p>
    <w:p>
      <w:r>
        <w:rPr>
          <w:b/>
        </w:rPr>
        <w:t xml:space="preserve">Quelle: </w:t>
      </w:r>
      <w:r>
        <w:t>https://mcp.opencaselaw.ch/entscheid/bvger_C-4044_2009</w:t>
      </w:r>
    </w:p>
    <w:p>
      <w:r>
        <w:t>FR: TAF C-4044/2009 du 28 janvier 2011</w:t>
      </w:r>
    </w:p>
    <w:p>
      <w:r>
        <w:t>IT: TAF C-4044/2009 del 28 gennaio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Die Beschwerdeführerin ist portugiesische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der Verordnung vom 17. Januar 1961 über die Invalidenver­sicherung (IVV, SR 831.201), dem ATSG und der der Verordnung vom 11. Sep­tember 2002 über den Allgemeinen Teil des Sozialversicherungsrechts (ATSV, SR 830.11).</w:t>
      </w:r>
    </w:p>
    <w:p>
      <w:r>
        <w:rPr>
          <w:b/>
        </w:rPr>
        <w:t>E. 2.3</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Für die Beurteilung des Leistungsanspruchs nach dem 1. Januar 2008 (in casu Rentenaufhebung per 1. Juli 2009) sind die Änderungen des IVG und des ATSG der 5. IV-Revision (AS 2007 5129 be­zie­hungs­weise AS 2007 5155) massgebend.</w:t>
      </w:r>
    </w:p>
    <w:p>
      <w:r>
        <w:rPr>
          <w:b/>
        </w:rPr>
        <w:t>E. 2.4</w:t>
      </w:r>
    </w:p>
    <w:p>
      <w:r>
        <w:t>Nach der Rechtsprechung stellt das Sozialversicherungsgericht bei der Beurteilung einer Streitsache in der Regel auf den bis zum Zeit­punkt des Erlasses der streitigen Verwaltungsverfügung (hier: 13. Mai 2009) eingetretenen Sachverhalt ab (BGE 129 V 1 E. 1.2 mit Hin­weis). Tatsachen, die jenen Sachverhalt seither verändert ha­ben, sollen im Normalfall Gegenstand einer neuen Verwaltungs­ver­fügung sein (BGE 121 V 362 E. 1b).</w:t>
      </w:r>
    </w:p>
    <w:p>
      <w:r>
        <w:rPr>
          <w:b/>
        </w:rPr>
        <w:t>E. 2.5</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w:t>
      </w:r>
    </w:p>
    <w:p>
      <w:r>
        <w:t>Die Beschwerdeführerin beantragt im Hauptpunkt die Aufhebung der angefochtenen Verfügung und begründet dies mit der Verletzung des Anspruchs auf rechtliches Gehör, welche sie darin sieht, dass die Ver­fügung ungenügend begründet worden und ihrem Vertreter die Akten­ein­sicht von der IVSTA nur mit erheblicher Verzögerung gewährt wor­den sei und jener daher nur noch sieben Arbeitstage Zeit gehabt habe, um Beschwerde zu erheben. Mit Blick auf den Verfahrensausgang kann diese Frage vorliegend jedoch offenbleiben, denn wie sich im Folgenden zeigen wird, hat die Vorinstanz den Sachverhalt nicht genügend abgeklärt, weshalb die Sache an die IVSTA zurückzuweisen sein wird (vgl. E. 5.2.3 hiernach).</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Gemäss Art. 17 Abs. 1 ATSG wird eine Rente von Amtes wegen oder auf Gesuch hin für die Zukunft entsprechend erhöht, herab­ge­setzt oder aufgehoben, wenn sich der Invaliditätsgrad des Renten­be­zügers erheblich verändert hat.</w:t>
      </w:r>
    </w:p>
    <w:p>
      <w:r>
        <w:rPr>
          <w:b/>
        </w:rPr>
        <w:t>E. 4.2.1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28a Abs. 1 IVG zu be­messen, so kann jede Änderung eines der beiden Vergleichs­ein­kom­men zu einer für den Anspruch erheblichen Erhöhung oder Ver­rin­ge­rung des Invaliditäts­grades führen. Vorliegend wurde die Rente wegen einer von der IVSTA angenom­menen Veränderung der tatsächlichen Verhältnisse und nicht zufolge Änderung der Rechtslage angepasst.</w:t>
      </w:r>
    </w:p>
    <w:p>
      <w:r>
        <w:rPr>
          <w:b/>
        </w:rPr>
        <w:t>E. 4.2.2</w:t>
      </w:r>
    </w:p>
    <w:p>
      <w:r>
        <w:t>Ob eine rentenrelevante Änderung eingetreten ist, beurteilt sich (unter Vorbehalt früher durchgeführter Revisionen) durch Vergleich des Sachverhaltes, wie er im Zeitpunkt der ursprünglichen Rentenver­fü­gung bestanden hat, mit demjenigen zur Zeit der streitigen Re­vi­sions­verfügung (BGE 125 V 369 E. 2, 113 V 275 E. 1a). Eine in der Zwi­schen­zeit ergangene Revisionsverfügung gilt dann als Vergleichs­basis, wenn sie die ur­sprüngliche Rentenverfü­gung nicht bestätigt, sondern die laufende Rente aufgrund eines neu festgesetzten IV-Gra­des ge­ändert hat (BGE 109 V 262 E. 4a mit Hinweisen; ZAK 1987 S. 37 E. 1a). Der Revisions­verfügung kommt im Weiteren - auch wenn der bisherige IV-Grad be­stätigt wird und die Höhe der Rente unverän­dert bleibt - dann als Ver­gleichsbasis Bedeutung zu, wenn sie in Form einer in Rechtskraft ge­tretenen Verfügung ergangen ist und eine mate­rielle Überprüfung des Leistungsanspruches tatsächlich stattgefunden hat. Diese im Bereich der Neuanmeldung geänderte Praxis des Bun­desgerichts gilt neu auch im Bereich von Rentenrevisionen (vgl.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Vorliegend ist somit der Sachverhalt im Zeitpunkt der ersten Renten­verfügung am 26. Februar 1999 mit dem Sachverhalt im Zeitpunkt der Re­visionsverfügung vom 13. Mai 2009 zu vergleichen. Die Revision, welche mit Schreiben vom 2. Oktober 2002 (act. 34) abgeschlossen wor­den ist, kann mangels umfassender Prüfung nicht als Vergleichs­zeitpunkt dienen.</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4.6</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29 Abs. 4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5</w:t>
      </w:r>
    </w:p>
    <w:p>
      <w:r>
        <w:t>Nachfolgend ist zu prüfen, ob die IVSTA zu Recht das Vorliegen eines Revisionsgrundes bejaht und gestützt darauf die ganze Rente der Beschwerdeführerin mit Wirkung ab 1. Juli 2009 aufgehoben hat.</w:t>
      </w:r>
    </w:p>
    <w:p>
      <w:r>
        <w:rPr>
          <w:b/>
        </w:rPr>
        <w:t>E. 5.1</w:t>
      </w:r>
    </w:p>
    <w:p>
      <w:r>
        <w:t>Im Rahmen der (vorliegend als Vergleichsbasis dienenden) ersten Rentenverfügung vom 26. Februar 1999 lagen der IV-Stelle Graubün­den zwei Arztberichte von Dr. med. B._______, Facharzt für Innere Medizin und Rheumatologie, vom 17. Feb­ruar 1997 und vom 12. März 1998 vor. Mit diesen Berichten wur­den bei der Beschwerdeführerin folgende Diagnosen gestellt: Fib­romyalgie, ein panvertebrales Schmerzsyndrom bei Hohl-Rundrücken und muskulärer Dysbalance und depressive Verstimmung. Insgesamt ging der beurteilende Arzt davon aus, die Beschwerdeführerin sei des­wegen vom 3. September 1996 bis zum 25. März 1997 zu 50% und seit dem 26. März 1997 zu 100% arbeitsunfähig. Gestützt darauf ver­fügte die IV-Stelle Graubünden eine ganze Rente bei einem Invalidi­täts­grad von 72%.</w:t>
      </w:r>
    </w:p>
    <w:p>
      <w:r>
        <w:rPr>
          <w:b/>
        </w:rPr>
        <w:t>E. 5.2</w:t>
      </w:r>
    </w:p>
    <w:p>
      <w:r>
        <w:t>Anlässlich des Rentenrevisionsverfahrens holte die IVSTA gestützt auf die Empfehlungen in den medizinischen Stellungnahmen von Dr. med. A._______ vom 14. Juni 2007 und vom 16. Juli 2008 ein polydisziplinäres Gutachten bei der MEDAS in Bern ein, da die vorhandenen medizinischen Unterlagen nicht genügten, um über den Anspruch zu entscheiden, weil namentlich ein psychiatri­sches Gutachten gefehlt habe. Die Gutachter, Dr. med. C._______, lic. phil. D._______ und Dr. med. E._______, diagnostizierten im Gutachten vom 10. Dezember 2008 ein chronisches leichtes Schmerzsyndrom (am ehesten im Sinne eines lumbospondylogenen Schmerzsyndroms ohne radikuläre Ausfälle oder Reizerscheinungen; ICD-10 M54.5), Stress­inkontinenz (ICD-10 N39.3), Diabetes mellitus II bei Adipositas (ICD-10 E11.9) und leichte chronisch reaktive Depression (ICD-10 F33.9). Die Ärzte kamen zum Schluss, der Gesundheitszustand der Be­schwerdeführerin habe sich verbessert und sie sei für leichte Tätig­keiten in überwiegend sitzender oder gehender Position zu 80% ar­beitsfähig, zumal die festgestellten Einschränkungen vorwiegend rheu­matologisch bedingt seien.</w:t>
      </w:r>
    </w:p>
    <w:p>
      <w:r>
        <w:rPr>
          <w:b/>
        </w:rPr>
        <w:t>E. 5.2.1</w:t>
      </w:r>
    </w:p>
    <w:p>
      <w:r>
        <w:t>Die Beschwerdeführerin rügte, das obgenannte Gutachten sei mangelhaft, da einerseits keine Diskussion und Auseinandersetzung mit den Vorakten stattgefunden habe und andererseits das Gutachten mangels Durchführung einer psychiatrischen Abklärung nicht auftrags­gemäss erstellt worden sei, weshalb nicht darauf abgestützt wer­den könne.</w:t>
      </w:r>
    </w:p>
    <w:p>
      <w:r>
        <w:rPr>
          <w:b/>
        </w:rPr>
        <w:t>E. 5.2.2</w:t>
      </w:r>
    </w:p>
    <w:p>
      <w:r>
        <w:t>Die IVSTA entgegnete, dass der Vorwurf in Bezug auf die Kennt­nisnahme und die Diskussion der Vorakten aus der Luft gegriffen sei, was bei der Lektüre des Gutachtens ohne Weiteres festgestellt werden könne. In Bezug auf das Verhalten der Beschwerdeführerin anlässlich der Untersuchung sei festzuhalten, dass diese den Ablauf der Begutachtung durch ihr inadäquates Verhalten wesentlich erschwert und teil­wei­se sogar verunmöglicht habe. Die Beschwerdeführerin habe damit die Mitwirkungspflicht verletzt und müsse die Konsequenzen, welche sich aus einem unvollständigen Gutachten ergäben, tragen.</w:t>
      </w:r>
    </w:p>
    <w:p>
      <w:r>
        <w:rPr>
          <w:b/>
        </w:rPr>
        <w:t>E. 5.2.3</w:t>
      </w:r>
    </w:p>
    <w:p>
      <w:r>
        <w:t>Unbestritten ist, dass anlässlich der Rentenfestsetzung mit dem panvertebralen Schmerzsyndrom und der depressiven Verstimmung zwei Diagnosen psychiatrischer Natur in den medizinischen Unterla­gen auftauchten. Dr. med. A._______ hat daher in ihren Stel­lung­nahmen zu Recht darauf hingewiesen, dass somit auch anlässlich des Revisionsverfahrens eine umfassende psychiatrische Ein­schät­zung zwingend vorliegen müsse. Die IVSTA war im Anschluss an diese Stellungnahmen offensichtlich auch der Ansicht, es müssten nament­lich noch um­fassendere psychiatrische Abklärungen getätigt werden, wes­halb sie schliesslich das polydisziplinäre MEDAS-Gutachten in Auf­trag gegeben hatte. Dem MEDAS-Gutachten ist bereits in der einleitenden Bemerkung zur Anamnese zu entnehmen, dass die Durchführung des Erst­ge­sprächs mit Anamnese sowie auch die neurologische und die psy­chiatri­schen Untersuchungen aufgrund des aggressiven Verhaltens der Beschwerdeführerin nicht ordnungsgemäss haben durchgeführt wer­den können (S. 8; "Das nachfolgend dargestellte Verhalten der Versicherten verunmöglichte die ordentliche Durchführung des üblichen Erstgesprächs [...]. Auch auf die für den gleichen Tag geplante neurologische und psychiatrische Untersuchung musste weitgehend verzichtet werden. Die am darauf folgenden Tag angesetzte internistisch-rheumatologische Untersuchung konnte dagegen unter Bedingungen stattfinden, die wenigstens die Erhebung eines internistisch-rheumatologischen Status erlaubten. [...] Das Erstgespräch musste nach 10 Minuten durch den ärztlichen Leiter Dr. C._______ wegen offen aggressiven Verhaltens gegen die Untersucherin Frau D._______ abgebrochen werden."). Die Gutachter wiesen bei der Zusammenfassung der Untersuchungsergebnisse immer wieder darauf hin, dass die Untersu­chungen nur unter erschwerten Bedingungen haben durchgeführt wer­den können und daher noch gewisse Unsicherheiten bestünden (S. 19; "Bedingt durch das massiv schmerzdemonstrative, aggravierende Verhalten der Versicherten ist andererseits nicht auszuschliessen, dass allfällige pathologische Befunde über sehen worden sein könnten. [...] Das auffällige und reinweg unkooperative Verhalten der Versicherten liess eine ambulante interdisziplinäre Begutachtung nicht zu. [...] Eine abschliessende Beurteilung der somatischen und psychischen Situation ist dadurch unmöglich geworden."). Trotz dieser Schwierigkeiten stellten die Gutachter letztendlich Dia­gnosen und kamen zum Schluss, der Gesundheitszustand der Be­schwerdeführerin habe sich verbessert. Es ist festzuhalten, dass das MEDAS-Gutachten trotz der Bemühun­gen der Gutachter, ein möglichst vollständiges Bild der ge­sundheit­lichen Situation der Beschwerdeführerin zu zeichnen, un­vollständig ist, da - wie die Gutachter selbst mehrfacht bestätigt ha­ben - nicht alle Untersuchungen ordnungsgemäss durchgeführt wor­den sind. Es ist so­mit gestützt auf dieses lückenhafte Gutachten nicht möglich, über den weiteren Rentenanspruch der Beschwerdeführerin zu befinden und auch gestützt auf die übrigen Akten ist dies - wie Dr. med. A._______ festgestellt hat - nicht möglich. Zudem fällt auf, dass bei der Auflistung und Zusammenfassung der berücksichtigten Vorakten (S. 6 f.) bei den portugiesischen Arztberichten jeder Hinweis auf deren Inhalt fehlt und nur festgehalten worden ist, die Dokumente seien in portugiesischer Sprache verfasst. Es ist daher - wie die Beschwerdeführerin geltend macht - zu vermuten, dass die Anamnese nicht unter Kenntnis aller Vorakten erstellt worden ist. Auch aus diesem Grund leidet das Gutachten an einem Fehler. Der ange­fochtene Ent­scheid ist somit gestützt auf eine unvollständige Akten­lage ergangen, was - trotz des Verhaltens der Beschwerdeführerin - nicht zulässig ist. Die IVSTA wäre vielmehr ver­pflichtet gewesen, bei Annahme einer unentschuldbaren Verletzung der Mitwirkungs­pflicht durch die Beschwerdeführerin, diese abzu­mahnen und auf die Rechtsfolgen hinzuweisen, um im Anschluss da­ran bei Nichtmit­wirkung die Rente (vorläufig) einzustellen (vgl. Art. 43 Abs. 3 ATSG und Art. 7b Abs. 1 und 2 IVG; Urteil des BGer 9C_359/2010 vom 9. Juli 2010 E. 2). In casu hat die IVSTA das vorgeschriebene Mahnverfahren nicht eingehalten, da sie - mit Ausnahme des Hinweises auf die Rechts­folgen bei Fernbleiben der Untersuchung in der Einladung zur Ab­klärung in der MEDAS (vgl. act. 77) - die Beschwerdeführerin weder ge­mahnt, noch auf die Fol­gen hinge­wiesen noch eine Bedenkzeit eingeräumt hat. Somit hat die IVSTA das vom Gesetz vorgeschriebene Vorgehen bei mangelnder Mit­wirkung nicht eingehalten. Die Beschwerde ist daher teilweise gutzuheissen und die ange­fochtene Verfügung ist aufzuheben. Die Sache ist an die IVSTA zu­rückzuweisen, damit diese den Sachverhalt erneut - wie von Dr. med. A._______ vorgeschlagen - polydisziplinär ab­kläre und über den Rentenanspruch der Beschwerdeführerin neu ent­scheide. Schliesslich ist noch darauf hinzuweisen, dass der IVSTA - sollte die Be­schwer­deführerin bei der weiteren Sachverhaltsabklärung nicht ord­nungsge­mäss mitwirken - die Möglichkeit offen stünde, die Rente nach Durchführung eines entsprechenden Mahnverfahrens gestützt auf Art. 43 Abs. 3 ATSG einzustellen.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beschwerde­führenden Partei (BGE 132 V 215 E. 6), so dass der Beschwerde­füh­rerin keine Verfahrenskosten aufzuerlegen sind. Ihr ist der geleistete Kos­tenvorschuss in der Höhe von Fr. 400.-- nach Eintritt der Rechts­kraft des vorliegenden Entscheids auf ein von ihr bekannt zu geben­des Konto zurückzuerstatten. Der unterliegenden Vorinstanz sind keine Verfahrenskosten aufzu­er­legen (Art. 63 Abs. 2 VwVG).</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vorliegend anwaltlich vertreten. Ihr ist daher eine Parteientschädigung für die ihr entstandenen notwendigen Kosten zuzusprechen. Da keine Kostennote eingereicht wurde, ist die Partei­entschädigung aufgrund der Akten festzusetzen (Art. 14 Abs. 2 VGKE). Eine Parteientschädigung in der Höhe von Fr. 2'000.-- erscheint unter Berücksichtigung des aktenkundigen Aufwandes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