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C-4036/2012 vom 20. Januar 2014</w:t>
      </w:r>
    </w:p>
    <w:p>
      <w:r>
        <w:t>Bundesverwaltungsgericht, 2014-01-20, FR</w:t>
      </w:r>
    </w:p>
    <w:p>
      <w:r>
        <w:rPr>
          <w:b/>
        </w:rPr>
        <w:t xml:space="preserve">Quelle: </w:t>
      </w:r>
      <w:r>
        <w:t>https://mcp.opencaselaw.ch/entscheid/bvger_C-4036_2012</w:t>
      </w:r>
    </w:p>
    <w:p>
      <w:r>
        <w:t>FR: TAF C-4036/2012 du 20 janvier 2014</w:t>
      </w:r>
    </w:p>
    <w:p>
      <w:r>
        <w:t>IT: TAF C-4036/2012 del 20 gennaio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4.1</w:t>
      </w:r>
    </w:p>
    <w:p>
      <w:r>
        <w:t>La décision dont est recours fait suite à une première demande de rente du 29 décembre 2006 ayant été rejetée par décision du 12 novembre 2009 de l'OAIE parce qu'il n'y avait pas d'invalidité au sens des dispositions légales (OAI pce 84). Cette décision est entrée en force, le Tribunal fédéral ayant, en date du 27 décembre 2011, déclaré irrecevable le recours déposé contre l'arrêt du Tribunal de céans du 23 septembre 2011.</w:t>
      </w:r>
    </w:p>
    <w:p>
      <w:r>
        <w:rPr>
          <w:b/>
        </w:rPr>
        <w:t>E. 4.2</w:t>
      </w:r>
    </w:p>
    <w:p>
      <w:r>
        <w:t>En application de l'art. 87 al. 3 et 4 du règlement du 17 janvier 1961 sur l'assurance-invalidité (RAI, RS 831.201), lorsque la rente a été refusée parce que le degré d'invalidité était insuffisant ou accordée pour une période limitée,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4.3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4.4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Ces principes, développés par la jurisprudence en relation avec la nouvelle demande de prestations (art. 87 al. 3 et 4 RAI), sont également applicables, par analogie, à la demande de révision (ATF 130 V 73 consid. 3, 109 V 264 consid. 3).</w:t>
      </w:r>
    </w:p>
    <w:p>
      <w:r>
        <w:rPr>
          <w:b/>
        </w:rPr>
        <w:t>E. 4.5</w:t>
      </w:r>
    </w:p>
    <w:p>
      <w:r>
        <w:t>En l'espèce, l'OAIE a rendu une décision de refus d'entrer en matière parce qu'il a estimé qu'il n'était pas établi de manière plausible que l'invalidité s'était modifiée de manière à influencer le droit aux prestations depuis le rejet de la première demande par décision du 12 novembre 2009 (OAI pce 104). L'assurée elle-même ne fait pas valoir de péjoration de son état de santé depuis novembre 2009, mais réitère qu'elle est incapable d'exercer une activité lucrative vu les séquelles d'un accident survenu en 1992. Le Tribunal de céans constate que la recourante, après l'accident de 1992, a continué à travailler encore jusqu'en 2006 avec le même taux d'occupation qu'auparavant, qu'elle a résilié son contrat de travail lors de la naissance de son deuxième enfant en 2006 et est retournée s'installer au Portugal où elle n'a pas repris d'activité lucrative. Vu la décision du 12 novembre 2009 entrée en force, il est établi qu'à cette date la recourante n'avait pas droit à une rente d'invalidité. Selon les pièces médicales versées au dossier, il n'est pas établi de manière plausible que l'invalidité se soit modifiée de manière à influencer le droit aux prestations depuis le rejet de la première demande par décision du 12 novembre 2009. En effet, les certificats médicaux datés de 2006 à 2008 annexés au recours, déjà déposés et pris en compte lors de la première procédure de recours devant le Tribunal administratif fédéral, sont irrelevants pour déterminer une modification de la situation médicale de l'intéressée. Les trois documents médicaux joints à la demande du 16 février 2012, à savoir un rapport psychologique du 21 octobre 2011, un rapport médical du 24 octobre 2011 et un rapport neuropsychiatrique du 10 novembre 2011, reprennent les plaintes subjectives de l'assurée et ne contiennent aucun élément médical nouveau. C'est donc à raison que l'OAIE n'est pas entré en matière sur la nouvelle demande dans la décision attaquée.</w:t>
      </w:r>
    </w:p>
    <w:p>
      <w:r>
        <w:rPr>
          <w:b/>
        </w:rPr>
        <w:t>E. 5.1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5.2</w:t>
      </w:r>
    </w:p>
    <w:p>
      <w:r>
        <w:t>Les frais de procédure, fixés à 400 francs, sont mis à la charge du recourant (art. 63 al. 1 PA, applicable par le truchement de l'art. 37 LTAF). Ils sont compensés par l'avance de frais du même montant dont il s'est acquittée au cours de l'instruction.</w:t>
      </w:r>
    </w:p>
    <w:p>
      <w:r>
        <w:rPr>
          <w:b/>
        </w:rPr>
        <w:t>E. 5.3</w:t>
      </w:r>
    </w:p>
    <w:p>
      <w:r>
        <w:t>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