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C-4034/2008 vom 8. März 2010</w:t>
      </w:r>
    </w:p>
    <w:p>
      <w:r>
        <w:t>Bundesverwaltungsgericht, 2010-03-08, FR</w:t>
      </w:r>
    </w:p>
    <w:p>
      <w:r>
        <w:rPr>
          <w:b/>
        </w:rPr>
        <w:t xml:space="preserve">Quelle: </w:t>
      </w:r>
      <w:r>
        <w:t>https://mcp.opencaselaw.ch/entscheid/bvger_C-4034_2008</w:t>
      </w:r>
    </w:p>
    <w:p>
      <w:r>
        <w:t>FR: TAF C-4034/2008 du 8 mars 2010</w:t>
      </w:r>
    </w:p>
    <w:p>
      <w:r>
        <w:t>IT: TAF C-4034/2008 del 8 marzo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(cf. pces 7 à 9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23 août 2005.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23 août 2004 (12 mois avant le dépôt de la demande) ou si le droit à une rente était né entre cette date et le 16 mai 2008,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6.2</w:t>
      </w:r>
    </w:p>
    <w:p>
      <w:r>
        <w:t>En l'occurrence, le recourant a versé des cotisations à l'AVS/AI pendant plus de trois années au total (cf. pce 5)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comme frontalier en Suisse, de 1995 à 2005, en qualité de serrurier-soudeur. Il a cessé de travailler en septembre 2004 et n'a depuis lors plus exercé d'activité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essentiellement d'un syndrome pan-vertébral accentué au niveau lombaire avec une insuffisance musculaire abdominale, un sacrum acutum et une hernie discale en L4/5, dans une moindre mesure L5/S1, d'une possible périarthropathie huméro-scapulaire gauche, ainsi que d'un tassement vertébral en D7 et L5 avec hyperfixation scintigraphique.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se fondant essentiellement sur l'appréciation médicale des Drs Zaslawski et Gratzl, a considéré que si le recourant est incapable, à 50% depuis septembre 2004 et à 100% depuis mars 2005, de travailler dans sa dernière activité professionnelle de soudeur, il pourrait cependant reprendre à plein temps une activité de substitution légère ou moyennement lourde adaptée à son état de santé. Dans cette mesure, sa perte de gain serait, à l'avis de l'Office, insuffisante pour ouvrir le droit à une rente de l'assurance-invalidité. Le recourant, pour sa part, a avancé que sa situation clinique justifie l'octroi d'une rente d'invalidité.</w:t>
      </w:r>
    </w:p>
    <w:p>
      <w:r>
        <w:rPr>
          <w:b/>
        </w:rPr>
        <w:t>E. 11.2</w:t>
      </w:r>
    </w:p>
    <w:p>
      <w:r>
        <w:t>Il est en l'espèce unanimement constaté par les médecins sollicités qu'en raison de la problématique liée à l'épaule le recourant n'est plus apte à reprendre l'activité de soudeur, profession lourde sur le plan physique impliquant des mouvements horizontaux fréquents des bras. Il est, par contre, également admis que ladite problématique et les douleurs dorso-lombalgiques dont souffre le recourant ne l'empêcheraient pas d'exercer une activité légère ou moyennement lourde. Les Drs Zaslawski et Gratzl, dans le rapport préalable du 6 juin 2006 (pce 14), le rapport E 213 (pce 15) et le rapport d'expertise bidisciplinaire du 16 juin 2006, ont explicitement conclu à une capacité de travail entière du recourant dans une activité de substitution adaptée. Seul le Dr Wendling, dans son attestation du 30 août 2005 (pce 7) somme toute plutôt succincte, semble lui reconnaître une incapacité de travail de 50% dans une activité légère. Toutefois, le même médecin dans son dernier rapport du 26 mars 2003 ne semble reconnaître une incapacité de travail que dans le cadre d'un métier de force (pce 25). Or, le juge, à cet égard,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Le Tribunal de céans relève au demeurant que l'expertise effectuée par les Drs Zaslawski et Gratzl émane d'une spécialiste en rhumatologie indépendante, repose sur une étude complète et circonstanciée de la situation médicale du recourant, ne contient pas d'incohérence et aboutit à des conclusions claires et motivées. Il sied, partant, de lui reconnaître une pleine valeur probante (voir les arrêts du Tribunal fédéral du 16 novembre 2007 dans la cause 9C_341/2007, du 22 février 2007 dans la cause I 211/06 consid. 5.4.1 et du 29 novembre 2007 dans la cause I 1098/06 consid. 9.2). Ces médecins, spécialement interpellés par le Dr Venzin du service médical régional des deux Bâle au sujet de l'appréciation médicale du Dr Wendling, ont encore exposé que les atteintes dégénératives dont souffre le recourant - essentiellement celles touchant l'épaule - ne sont pas prononcées au point d'empêcher l'exercice d'une activité légère et adaptée et, dès lors, ont confirmé leurs conclusions (pces 19.1 ss et 19.5 ss). Le diagnostic d'ostéoporose retenu par le Dr Wendling dans ses attestations des 30 août 2005 et 2 janvier 2006 (cf. pces 3, 7, 11, 15), enfin, a été expressément contesté par les Drs Zaslawski et Gratzl (cf. surtout pces 19.1 ss et 19.5 ss). Ces médecins ont, en tout état de cause, précisé que cette affection n'est susceptible d'entraîner une limitation de la capacité de travail de l'assuré que dans le cadre de travaux qui s'effectuent en hauteur et présentent un risque de chute important (pces 14 s.). Il est, au surplus, patent et incontesté que les affections secondaires dont souffre le recourant, savoir une obstruction pulmonaire après un abus prolongé de nicotine et une exposition à diverses vapeurs dans le cadre de sa profession de soudeur (cf. pces 15), ainsi que l'apnée du sommeil (soupçon) ne sont pas invalidantes (cf. surtout pces 14 s.).</w:t>
      </w:r>
    </w:p>
    <w:p>
      <w:r>
        <w:rPr>
          <w:b/>
        </w:rPr>
        <w:t>E. 11.3</w:t>
      </w:r>
    </w:p>
    <w:p>
      <w:r>
        <w:t>Eu égard à ce qui précède, le Tribunal de céans, à l'instar de l'autorité inférieure, fait sienne les appréciations médicales des Drs Zaslawski et Gratzl et considère dès lors que le recourant conserve une pleine capacité de travail dans une activité de substitution légère ou moyennement lourde n'exigeant pas de mouvements horizontaux fréquents des bras et ne présentant pas de risque de chute important.</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12.4</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réf. cit.),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 Conformément à la jurisprudence, il convient en principe de se placer au moment de la naissance du droit à la rente pour juger de l'exigibilité d'un changement de profession de la part de l'assuré (cf. arrêt du Tribunal fédéral 9C_612/2007 du 14 juillet 2008 consid. 5.2; I 761/04 du 14 juin 2005 consid. 2.3 se référant à l'ATF 129 V 222). En l'occurrence, l'état de santé du recourant s'est aggravé en septembre 2004 (cf. pces 14 s.). Le droit à une rente aurait ainsi pu naître au plus tôt en septembre 2005 (art. 29 al. 1 let. b LAI). Le recourant était alors âgé de 62 ans, soit un seuil à partir duquel on peut parler d'âge avancé (cf. arrêts du Tribunal fédéral 9C_104/2008 du 15 octobre 2008 consid. 4; 9C_612/2007 du 14 juillet 2008 consid. 5.2; I 819/04 du 27 mai 2005 consid. 2.2). Le Tribunal de céans estime toutefois qu'une reconversion professionnelle peut raisonnablement être exigée de la part du recourant, dans la mesure où les affections dont il souffre n'apparaissent pas particulièrement invalidantes pour l'exercice des activités de substitution proposées, ces affections sont exclusivement d'ordre physique limitées pour l'essentiel à l'épaule et permettent ainsi l'exercice d'un très grand nombre d'activités légères ou moyennement lourdes, une adaptation d'un poste de travail à ses limitations fonctionnelles ne paraît pas nécessaire et les activités proposées ne demandent pas de formation particulièrement intensive de sorte que les frais y relatifs d'un éventuel employeur auraient été limités.</w:t>
      </w:r>
    </w:p>
    <w:p>
      <w:r>
        <w:rPr>
          <w:b/>
        </w:rPr>
        <w:t>E. 12.5</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En l'espèce, il sied de relever que le revenu de l'assuré sans invalidité doit être celui effectivement obtenu. Or, il appert du dossier que le revenu annuel de l'assuré, en 2004, a été de Fr. 62'465.- (13 mois x Fr. 4'805.-; cf. pce 5.2 pt. 12). Ce salaire doit être indexé à 2005 (année à laquelle débuterait le droit à la rente, eu égard au délai d'attente d'un an qui suit septembre 2004, soit le moment où est né l'incapacité de travail selon les Drs Zaslawski et Gratzl; art. 29 al. 1 let. b LAI; ATF 129 V 222 consid. 4.3.1 et 4.4; ATF 128 V 174; arrêt du Tribunal administratif fédéral C-4599/2007 du 27 avril 2009 consid. 10.1). On obtient un revenu de Fr. 63'277.- (en ce qui concerne l'évolution des salaires, voir La Vie économique, tableau B 10.2, décembre 2009, secteur D).</w:t>
      </w:r>
    </w:p>
    <w:p>
      <w:r>
        <w:rPr>
          <w:b/>
        </w:rPr>
        <w:t>E. 13.2</w:t>
      </w:r>
    </w:p>
    <w:p>
      <w:r>
        <w:t>Le revenu d'invalide tiré des données statistiques doit tenir compte d'un large éventail d'activités légères existant sur le marché du travail. Un nombre suffisant d'entre elles peut être exercé sans efforts physiques importants et sans mouvements horizontaux fréquents des bras, de sorte que ces activités sont adaptées au handicap du recourant. De plus, la majeure partie de ces postes ne nécessite pas de formation particulière autre qu'une mise à jour au courant initiale. Selon les données statistiques publiées par l'Office fédéral compétent le salaire après invalidité se monte à Fr. 4'588.-, données 2004, pour des activités de substitution simples et légères du secteur privé en général. À cet égard, il convient de préciser qu'il s'agit des données tirées du Tableau TA1 (hommes, niveau de qualification 4), qui sont déterminantes en l'espèce selon la jurisprudence du Tribunal fédéral (cf. RSAS 2007 p. 64). Ce chiffre est indexé à 2005 (+1%, La Vie économique, tableau B 10.2), adapté à la durée de travail hebdomadaire en 2005 de 41.6 heures (cf. La Vie économique, tableau B 9.2) - au lieu de 40 heures sur lesquelles sont calculées les données statistiques -, puis multiplié par 12 pour obtenir le revenu annuel. On obtient ainsi un résultat de Fr. 57'830.-. La réduction des salaires ressortant des statistiques (abattement) relève en premier lieu de l'OAIE, qui dispose pour cela d'un large pouvoir d'appréciation. Le juge des assurances sociales ne peut, sans motif pertinent, substituer son appréciation à celle de l'administration (ATF 126 V 75 consid. 3b/aa et bb). En l'espèce, compte tenu de l'âge avancé et du handicap du recourant, l'abattement de 20% appliqué par l'autorité inférieure apparaît justifié. Il s'ensuit que le revenu annuel théorique pour des activités adaptées de Fr. 57'830.-, abaissé de 20%, soit Fr. 46'264.-, fonde une perte de gain de 27% (Fr. 46'264.- x 100 : Fr. 63'277.- = 27%), taux insuffisant pour avoir droit à une rente de l'assurance-invalidité suisse.</w:t>
      </w:r>
    </w:p>
    <w:p>
      <w:r>
        <w:rPr>
          <w:b/>
        </w:rPr>
        <w:t>E. 14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voie de conséquence, le recours du 16 juin 2008 doit être rejeté et la décision du 16 mai 2008 confirmée.</w:t>
      </w:r>
    </w:p>
    <w:p>
      <w:r>
        <w:rPr>
          <w:b/>
        </w:rPr>
        <w:t>E. 15</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