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C-4033/2014 vom 9. Januar 2017</w:t>
      </w:r>
    </w:p>
    <w:p>
      <w:r>
        <w:t>Bundesverwaltungsgericht, 2017-01-09, DE</w:t>
      </w:r>
    </w:p>
    <w:p>
      <w:r>
        <w:rPr>
          <w:b/>
        </w:rPr>
        <w:t xml:space="preserve">Quelle: </w:t>
      </w:r>
      <w:r>
        <w:t>https://mcp.opencaselaw.ch/entscheid/bvger_C-4033_2014</w:t>
      </w:r>
    </w:p>
    <w:p>
      <w:r>
        <w:t>FR: TAF C-4033/2014 du 9 janvier 2017</w:t>
      </w:r>
    </w:p>
    <w:p>
      <w:r>
        <w:t>IT: TAF C-4033/2014 del 9 gennaio 2017</w:t>
      </w:r>
    </w:p>
    <w:p>
      <w:pPr>
        <w:pStyle w:val="Heading2"/>
      </w:pPr>
      <w:r>
        <w:t>Regeste</w:t>
      </w:r>
    </w:p>
    <w:p>
      <w:r>
        <w:t>Rentenanspruch</w:t>
      </w:r>
    </w:p>
    <w:p>
      <w:pPr>
        <w:pStyle w:val="Heading2"/>
      </w:pPr>
      <w:r>
        <w:t>Erwägungen</w:t>
      </w:r>
    </w:p>
    <w:p>
      <w:r>
        <w:rPr>
          <w:b/>
        </w:rPr>
        <w:t>E. 1.1</w:t>
      </w:r>
    </w:p>
    <w:p>
      <w:r>
        <w:t>Das Bundesverwaltungsgericht ist zur Behandlung der Beschwerde zuständig (vgl. Art. 31, 32 und 33 Bst. d VGG; Art. 69 Abs. 1 Bst. b IVG [SR 831.20]).</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(vgl. Art. 2 ATSG in Verbindung mit Art. 1 IVG).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Der Beschwerdeführer ist als Adressat der angefochtenen Verfügung vom 20. Juni 2014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1.4</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1.5</w:t>
      </w:r>
    </w:p>
    <w:p>
      <w:r>
        <w:t>Anfechtungsobjekt bildet die Verfügung der Vorinstanz vom 20. Juni 2014 (BVGer-act. 1 Beilage 1 sowie Dok. 87 und 90), mit welcher dem Beschwerdeführer mit Wirkung ab 1. Januar 2012 eine ganze IV-Rente zugesprochen worden ist. Mit Blick auf die beschwerdeweise am 18. Juli 2014 gemachten Ausführungen (BVGer-act. 1) resp. den Verweis auf die im Rahmen der Vorbescheidverfahren eingereichten Eingaben vom 18. Dezember 2013 (Dok. 65), vom 31. Dezember 2013 (Dok. 67), vom 10. Januar 2014 (Dok. 71), vom 20. Februar 2014 (Dok. 75), vom 3. März 2014 (Dok. 77) und vom 17. März 2014 (Dok. 80 f.) ist vorliegend einzig streitig und zu prüfen, ob der Anspruch auf Ausrichtung einer ganzen IV-Rente gemäss Ansicht des Beschwerdeführers - statt am 1. Januar 2012 - bereits am 1. Juli 2010 begonnen hat.</w:t>
      </w:r>
    </w:p>
    <w:p>
      <w:r>
        <w:rPr>
          <w:b/>
        </w:rPr>
        <w:t>E. 2.1</w:t>
      </w:r>
    </w:p>
    <w:p>
      <w:r>
        <w:t>Der Beschwerdeführer ist Staatsangehöriger von Bosnien und Herzegowina, weshalb das im Verhältnis zu Bosnien-Herzegowina bis heute gültige Abkommen vom 8. Juni 1962 zwischen der Schweizerischen Eidgenossenschaft und der Föderativen Volksrepublik Jugoslawien über Sozialversicherung (SR 0.831.109.818.1; nachfolgend: Sozialversicherungsabkommen) zur Anwendung kommt (vgl. Urteil des Bundesgerichts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Die Frage, ob und gegebenenfalls ab wann ein Anspruch des Beschwerdeführers auf Leistungen der IV besteht, bestimmt sich demnach allein aufgrund der schweizerischen Rechtsvorschriften (vgl. Art. 4 des Sozialversicherungsabkommens).</w:t>
      </w:r>
    </w:p>
    <w:p>
      <w:r>
        <w:rPr>
          <w:b/>
        </w:rPr>
        <w:t>E. 2.2</w:t>
      </w:r>
    </w:p>
    <w:p>
      <w:r>
        <w:t>Nach ständiger Rechtsprechung stellt das Sozialversicherungsgericht bei der Beurteilung einer Streitsache in der Regel auf den bis zum Zeitpunkt des Erlasses des streitigen Entscheides (hier: 20. Juni 2014) eingetretenen Sachverhalt ab (BGE 132 V 215 E. 3.1.1;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132 V 215 E. 3.1.1; 130 V 329). Ein allfälliger (weiterbestehender) Leistungsanspruch ist für die Zeit vor einem Rechtswechsel aufgrund der bisherigen und ab diesem Zeitpunkt nach den neuen Normen zu prüfen (pro rata temporis-Regel; vgl. BGE 130 V 445).</w:t>
      </w:r>
    </w:p>
    <w:p>
      <w:r>
        <w:rPr>
          <w:b/>
        </w:rPr>
        <w:t>E. 2.2.1</w:t>
      </w:r>
    </w:p>
    <w:p>
      <w:r>
        <w:t>Damit finden vorliegend grundsätzlich jene materiellen Rechtsvorschriften Anwendung, die bei Erlass der angefochtenen Verfügung vom 20. Juni 2014 (Dok. 87 und 90) in Kraft standen; weiter aber auch Vorschriften, die zu jenem Zeitpunkt bereits ausser Kraft getreten waren, die aber für die Beurteilung allenfalls früher entstandener Leistungsansprüche von Belang sind (für das IVG: ab dem 1. Januar 2008 in der Fassung vom 6. Oktober 2006 [AS 2007 5129; 5. IV-Revision] sowie ab dem 1. Januar 2012 in der Fassung vom 18. März 2011 [AS 2011 5659; 6. IV-Revision, erstes Massnahmenpaket]; die Verordnung vom 17. Januar 1961 über die Invalidenversicherung [IVV, SR 831.201] in der entsprechenden Fassungen).</w:t>
      </w:r>
    </w:p>
    <w:p>
      <w:r>
        <w:rPr>
          <w:b/>
        </w:rPr>
        <w:t>E. 2.2.2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seit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(in der ab 2008 geltenden Fassung) haben Versicherte Anspruch auf eine Rente, die ihre Erwerbsfähigkeit oder die Fähigkeit, sich im Aufgabenbereich zu betätigen, nicht durch zumutbare Eingliederungsmassnahmen wieder herstellen, erhalten oder verbessern können (Bst. a), die während eines Jahres ohne wesentlichen Unterbruch durchschnittlich mindestens 40 Prozent arbeitsunfähig (Art. 6 ATSG) gewesen sind (Bst. b) und nach Ablauf dieses Jahres zu mindestens 40 Prozent invalid (Art. 8 ATSG) sind (Bst.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4.1</w:t>
      </w:r>
    </w:p>
    <w:p>
      <w:r>
        <w:t>Vorliegend ist aufgrund der Akten (vgl. insb. Dok. 58, 84 und 86) erstellt und unbestritten, dass der Beschwerdeführer infolge der festgestellten Gesundheitsbeeinträchtigungen Anspruch auf eine ganze Rente der Invalidenversicherung hat. Strittig ist hingegen, ab welchem Zeitpunkt der Anspruch auf diese entstanden ist. Diesbezüglich kann mit Blick auf die strittige Frage der frühestmöglichen Ausrichtung der Rente auf eine eingehende Auseinandersetzung mit den medizinischen Akten vorliegend jedoch verzichtet werden (vgl. sogleich E. 4.2 hiernach):</w:t>
      </w:r>
    </w:p>
    <w:p>
      <w:r>
        <w:rPr>
          <w:b/>
        </w:rPr>
        <w:t>E. 4.2</w:t>
      </w:r>
    </w:p>
    <w:p>
      <w:r>
        <w:t>Laut dem vorliegend anwendbaren Art. 29 Abs. 1 IVG in seinem seit 1. Januar 2008 vorliegenden Wortlaut entsteht der Rentenanspruch - zu dessen Begründung u.a. während eines Jahres ohne wesentlichen Unterbruch eine durchschnittlich mindestens 40%ige Arbeitsunfähigkeit bestanden haben muss (Art. 28 Abs. 1 lit. b IVG; vgl. E. 3.2 hiervor) - frühestens nach Ablauf von sechs Monaten, nachdem der Leistungsanspruch nach Art. 29 Abs. 1 ATSG geltend gemacht wurde. Der Beschwerdeführer meldete sich unbestrittenermassen mit Gesuch vom 4. Juli 2011 zum Bezug von Leistungen der Invalidenversicherung an (vgl. Anmeldeformular vom 4. Juli 2011 [Dok. 11], Einwandbegründung vom 31. Dezember 2013 [Dok. 67] sowie zweiten Vorbescheid vom 19. Februar 2014 [Dok. 74]). Der Anspruch auf eine IV-Rente und deren Auszahlung konnte somit in Anwendung von Art. 29 Abs. 1 und 3 IVG frühestens nach Ablauf von sechs Monaten nach Geltendmachung des Leistungsanspruchs (erfolgte am 4. Juli 2011), vorliegend mithin frühestens am 1. Januar 2012 entstehen, wie dies die Vorinstanz im Rahmen der Vernehmlassung vom 12. August 2014 (BVGer-act. 3) zutreffend dargelegt hat. Da die Vorinstanz den Beginn der ganzen IV-Rente auf diesen frühestmöglichen Termin festgelegt hat, kann vorliegend der umstrittene Beginn der (rentenrelevanten) Arbeitsunfähigkeit und deren Umfang sowie der damit im Zusammenhang stehende Zeitpunkt des Eintritts des Versicherungsfalls (vgl. Art. 28 Abs. 1 Bst. b und c IVG; E. 3.2 hiervor) offengelassen werden. Ergänzend ist darauf hinzuweisen, dass aArt. 48 Abs. 2 Satz 1 IVG in der bis Ende 2007 in Kraft gestandenen Fassung (AS 2003 3837; 4. IV-Revision) aufgrund des Anmeldedatums vom 4. Juli 2011 nicht zur Anwendung gelangt (vgl. auch Urteil des BVGer C-1580/2016 vom 14. September 2016 E. 4 in fine).</w:t>
      </w:r>
    </w:p>
    <w:p>
      <w:r>
        <w:rPr>
          <w:b/>
        </w:rPr>
        <w:t>E. 5</w:t>
      </w:r>
    </w:p>
    <w:p>
      <w:r>
        <w:t>Aufgrund der vorstehenden Erwägungen ergibt sich zusammenfassend, dass sich die Verfügung vom 20. Juni 2014 als richtig erweist, weshalb die dagegen erhobene Beschwerde vom 18. Juli 2014 als offensichtlich unbegründet im einzelrichterlichen Verfahren gemäss Art. 23 Abs. 2 VGG in Verbindung mit Art. 69 Abs. 2 IVG und Art. 85bis Abs. 3 AHVG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und werden dem geleisteten Kostenvorschuss in gleicher Höhe entnommen.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