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C-4014/2010 vom 20. Juni 2011</w:t>
      </w:r>
    </w:p>
    <w:p>
      <w:r>
        <w:t>Bundesverwaltungsgericht, 2011-06-20, DE</w:t>
      </w:r>
    </w:p>
    <w:p>
      <w:r>
        <w:rPr>
          <w:b/>
        </w:rPr>
        <w:t xml:space="preserve">Quelle: </w:t>
      </w:r>
      <w:r>
        <w:t>https://mcp.opencaselaw.ch/entscheid/bvger_C-4014_2010</w:t>
      </w:r>
    </w:p>
    <w:p>
      <w:r>
        <w:t>FR: TAF C-4014/2010 du 20 juin 2011</w:t>
      </w:r>
    </w:p>
    <w:p>
      <w:r>
        <w:t>IT: TAF C-4014/2010 del 20 giugno 2011</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Beschwerdeführerin ist durch die angefochtene Einspracheverfügung berührt und hat ein schutzwürdiges Interesse an deren Aufhebung oder Änderung, so dass sie im Sinne von Art. 59 ATSG beschwerdelegitimiert ist. Sie hat mit am 23. August 2010 eingereichter Vollmacht C._______, W._______, bevollmächtigt (act. 10). Diese hat Rechtsanwältin Nadja Herz ihrerseits am 13. September 2010 mit der Vertretung der Interessen der Beschwerdeführerin beauftragt (act. 12).</w:t>
      </w:r>
    </w:p>
    <w:p>
      <w:r>
        <w:rPr>
          <w:b/>
        </w:rPr>
        <w:t>E. 1.4</w:t>
      </w:r>
    </w:p>
    <w:p>
      <w:r>
        <w:t>Da die Beschwerde im Übrigen gestützt auf die postalische Zustelldauer zwischen der Schweiz und Brasilien frist- und formgerecht (Art. 60 Abs. 1 ATSG in Verbindung mit Art. 30 ATSG und Art. 52 Abs. 1 VwVG) eingereicht wurde, ist darauf einzutreten.</w:t>
      </w:r>
    </w:p>
    <w:p>
      <w:r>
        <w:rPr>
          <w:b/>
        </w:rPr>
        <w:t>E. 2</w:t>
      </w:r>
    </w:p>
    <w:p>
      <w:r>
        <w:t>Vorliegend ist vom Bundesverwaltungsgericht zu prüfen, ob die Vorinstanz die Beschwerdeführerin zur Recht aus der freiwilligen Versicherung ausgeschlossen hat.</w:t>
      </w:r>
    </w:p>
    <w:p>
      <w:r>
        <w:rPr>
          <w:b/>
        </w:rPr>
        <w:t>E. 2.1</w:t>
      </w:r>
    </w:p>
    <w:p>
      <w:r>
        <w:t>Gemäss Art. 5 der Verordnung vom 26. Mai 1961 über die freiwillige Alters-, Hinterlassenen- und Invalidenversicherung (VFV, SR 831.111)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ausgeschlossen.Art. 13 VFV regelt den Ausschluss aus der freiwilligen Versicherung. Versicherte werden demnach aus der freiwilligen Versicherung ausgeschlossen, wenn sie der Ausgleichskasse die verlangten Belege nicht bis zum 31. Dezember des Jahres einreichen, das auf das Beitragsjahr folgt (Art. 13 Abs. 1 Bst. c VFV). Vor Ablauf dieser Frist stellt die Ausgleichskasse dem Versicherten unter Androhung des Ausschlusses eine eingeschriebene Mahnung zu; diese Androhung kann mit der zweiten Mahnung gemäss Art. 17 Abs. 2 Satz 2 VFV erfolgen, das heisst mit der letzten Zahlungsaufforderung (Art. 13 Abs. 2 VFV). Der Ausschluss gilt rückwirkend ab dem ersten Tag des Beitragsjahres, für das die Beiträge nicht vollständig bezahlt wurden (Art. 13 Abs. 3 VFV).</w:t>
      </w:r>
    </w:p>
    <w:p>
      <w:r>
        <w:rPr>
          <w:b/>
        </w:rPr>
        <w:t>E. 2.2</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97 E. 2c, bestätigt mit Urteil des Bundesgerichts H 224/04 vom 28. April 2005).</w:t>
      </w:r>
    </w:p>
    <w:p>
      <w:r>
        <w:rPr>
          <w:b/>
        </w:rPr>
        <w:t>E. 2.3</w:t>
      </w:r>
    </w:p>
    <w:p>
      <w:r>
        <w:t>Der Beweis der Tatsache sowie des Zeitpunktes der Zustellung der Mahnung obliegt der Verwaltung.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wollte (BGE 103 V 65 E. 2a mit weiteren Hinweisen).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(oder den Versicherten ein Zustelldomizil in der Schweiz bezeichnen lassen, vgl. Art. 11b Abs. 1 VwVG), was mit der Grund dafür ist, dass die unter Androhung des Ausschlusses erforderliche Mahnung mit eingeschriebenem Brief zu erfolgen hat.</w:t>
      </w:r>
    </w:p>
    <w:p>
      <w:r>
        <w:rPr>
          <w:b/>
        </w:rPr>
        <w:t>E. 3.1</w:t>
      </w:r>
    </w:p>
    <w:p>
      <w:r>
        <w:t>Aus den Akten geht hervor, dass die Beschwerdeführerin sowohl im April 2009 Akten (vgl. act. SAK/3) und im August 2009 das ausgefüllte und unterzeichnete Formular "Erklärung über Einkommen und Vermögen zwecks Festsetzung der Beiträge" (unterzeichnet am 24. Juli 2009) sowie das "Certificado de salario" (unterzeichnet am 20. April 2009 und am 24. Juli 2009) an die Vorinstanz eingereicht hat (vgl. act. SAK/3 und act. 8.1-5), wie auch die Vorinstanz in der Duplik bestätigte. Zudem steht fest, dass der Ehemann der Versicherten aufgrund seiner Eingaben, welche am 9. Juni 2009 eingingen, taxiert wurde (vgl. act. SAK/5).</w:t>
      </w:r>
    </w:p>
    <w:p>
      <w:r>
        <w:rPr>
          <w:b/>
        </w:rPr>
        <w:t>E. 3.2</w:t>
      </w:r>
    </w:p>
    <w:p>
      <w:r>
        <w:t>Den Akten ist nicht zu entnehmen, ob das nicht-eingeschrieben versandte Schreiben vom 4. Mai 2008, welches eine genaue Aufzählung von zur Taxierung benötigten Akten enthielt, der Beschwerdeführerin tatsächlich zugestellt wurde.</w:t>
      </w:r>
    </w:p>
    <w:p>
      <w:r>
        <w:rPr>
          <w:b/>
        </w:rPr>
        <w:t>E. 3.3</w:t>
      </w:r>
    </w:p>
    <w:p>
      <w:r>
        <w:t>Aufgrund der vorliegenden Akten ist nachvollziehbar, dass die Beschwerdeführerin im Nachgang zur am 6. Juli 2009 nochmals versandten "Mahnung", welche den identischen Standardtext aufwies wie die "Mah­nung" vom 9. März 2009 (act. SAK/2), und keine speziellen Hinweise auf zusätzlich einzureichende Akten enthielt, ihre im April 2009 eingereichten Unterlagen nochmals einreichte. Auch die am 7. September 2009 versandte 2. Mahnung bezog sich nur allgemein auf das Formular "Einkommens- und Vermögenserklärung und/oder die nötigen Belege". Sie enthielt auch den Satz "Diese 2. Mahnung ist als gegenstandslos zu betrachten, falls Sie diese Dokumente in der Zwischenzeit eingereicht haben." Da die Beschwerdeführerin am 28. Juli 2009 nachweislich per Einschreiben das verlangte Formular inkl. Lohnbestätigung eingereicht hatte (act. SAK/8.1 ff.) konnte sie in guten Treuen davon ausgehen, dass sie die verlangten Unterlagen jetzt eingereicht hatte, zumal auch die Unterlagen des Ehemannes der SAK zugestellt worden waren, was von der Vorinstanz bestätigt wird. Es finden sich zudem keine aktenkundigen Hinweise, wonach der Beschwerdeführerin von der Vorinstanz im Nachgang zur Eingabe vom 28. Juli 2009 mitgeteilt worden wäre, diese (im Dossier offenbar bereits vorhandenen, vgl. act. 14) Akten würden nicht genügen.</w:t>
      </w:r>
    </w:p>
    <w:p>
      <w:r>
        <w:rPr>
          <w:b/>
        </w:rPr>
        <w:t>E. 3.4</w:t>
      </w:r>
    </w:p>
    <w:p>
      <w:r>
        <w:t>Es bleibt demnach - entgegen der Auffassung der Vorinstanz unbewiesen (oben E. 2.3), dass das - nicht eingeschrieben versandte - Schreiben vom 4. Mai 2009, aus welchem die Beschwerdeführerin hätte schliessen können, dass die eingereichten Akten nicht genügten, der Beschwerdeführerin zugestellt wurde. Die Beschwerdeführerin selbst bezog sich nicht auf dieses Schreiben, was dafür spricht, dass sie es nicht erhalten hat. Erst nach Akteneinsicht im Rahmen Beschwerdeverfahrens nahm sie zu diesem Schreiben Stellung (vgl. act. 20).</w:t>
      </w:r>
    </w:p>
    <w:p>
      <w:r>
        <w:rPr>
          <w:b/>
        </w:rPr>
        <w:t>E. 3.5</w:t>
      </w:r>
    </w:p>
    <w:p>
      <w:r>
        <w:t>Wie oben ausgeführt wurde, stellt der Ausschluss einen äusserst schwerwiegenden Eingriff in die Rechtsstellung des Betroffenen dar, weshalb dieser genau wissen muss, wie er den Ausschluss abwenden kann (E. 2.2). Aufgrund der vorliegenden Akten gelingt es der Vorinstanz nicht nachzuweisen, dass die Beschwerdeführerin über diese Information verfügte, liegt doch kein Beleg dazu vor, dass der Beschwerdeführerin das einzige diesbezüglich konkrete Schreiben vom 4. Mai 2009 tatsächlich zuging. Auch aus den dem Bundesverwaltungsgericht vorliegenden SAK-Akten 1 - 9 geht nicht hervor, dass die Beschwerdeführerin aus früheren Jahren hätte wissen müssen, dass die eingereichten Akten offenbar nicht genügten. Unter diesen Umständen erfolgte der Ausschluss zu Unrecht. Somit kann offen bleiben, ob - wie die Beschwerdeführerin triplikweise geltend machen lässt - die Beschwerdeführerin aufgrund der der Vorinstanz vorliegenden Akten ihres Ehemannes überhaupt weitere Akten hätte einreichen müssen.</w:t>
      </w:r>
    </w:p>
    <w:p>
      <w:r>
        <w:rPr>
          <w:b/>
        </w:rPr>
        <w:t>E. 3.6</w:t>
      </w:r>
    </w:p>
    <w:p>
      <w:r>
        <w:t>Zusammenfassend ist festzustellen, dass die angefochtene Einspracheverfügung Bundesrecht verletzt, weshalb die Beschwerde gutzuheissen, die Verfügung aufzuheben und die Vorinstanz aufzufordern ist, die Beschwerdeführerin wieder in die freiwillige Versicherung aufzunehmen, allfällige noch ausstehende Akten einzuholen und die Beschwerdeführerin für die offenen Beitragsjahre ab dem Jahr 2008 zu taxieren.</w:t>
      </w:r>
    </w:p>
    <w:p>
      <w:r>
        <w:rPr>
          <w:b/>
        </w:rPr>
        <w:t>E. 4</w:t>
      </w:r>
    </w:p>
    <w:p>
      <w:r>
        <w:t>Das Verfahren ist für die Parteien kostenlos (Art. 85bis Abs. 2 AHVG), sodass keine Verfahrenskosten zu erheben sind. Der obsiegenden Partei kann nach Massgabe ihres Erfolges von Amtes wegen oder auf Begehren eine Entschädigung für ihr erwachsene not­wendige verhältnismässig hohe Kosten zugesprochen werden (Art. 64 Abs. 1 VwVG und Art. 7 ff. des Reglements vom 21. Februar 2008 über die Kosten und Entschädigungen vor dem Bundesverwaltungsgericht [VGKE, SR 173.320.2]). Da keine Honorarnote eingereicht wurde, ist die Höhe der Entschädigung aufgrund der Akten zu bestimmen (Art. 14 Abs. 2 VGKE) und wird in Berücksichtigung dessen, dass die anwaltliche Vertretung erst im zweiten Teil des Beschwerdeverfahrens zugezogen wurde, auf Fr. 500.-- festgelegt. Sie ist von der Vorinstanz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