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C-4009/2015 vom 3. Mai 2016</w:t>
      </w:r>
    </w:p>
    <w:p>
      <w:r>
        <w:t>Bundesverwaltungsgericht, 2016-05-03, IT</w:t>
      </w:r>
    </w:p>
    <w:p>
      <w:r>
        <w:rPr>
          <w:b/>
        </w:rPr>
        <w:t xml:space="preserve">Quelle: </w:t>
      </w:r>
      <w:r>
        <w:t>https://mcp.opencaselaw.ch/entscheid/bvger_C-4009_2015</w:t>
      </w:r>
    </w:p>
    <w:p>
      <w:r>
        <w:t>FR: TAF C-4009/2015 du 3 mai 2016</w:t>
      </w:r>
    </w:p>
    <w:p>
      <w:r>
        <w:t>IT: TAF C-4009/2015 del 3 maggio 2016</w:t>
      </w:r>
    </w:p>
    <w:p>
      <w:pPr>
        <w:pStyle w:val="Heading2"/>
      </w:pPr>
      <w:r>
        <w:t>Regeste</w:t>
      </w:r>
    </w:p>
    <w:p>
      <w:r>
        <w:t>dopo lo scioglimento della comunità familiare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respinta.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processuali di fr. 600.- sono poste a carico della ricorrente. Esse vengono prelevate sull'anticipo spese di fr. 1'200.- versato in data 14 apri-le 2016. La differenza di fr. 600.- sarà restituita al momento della crescita in giudicato della presente sentenza.</w:t>
      </w:r>
    </w:p>
    <w:p>
      <w:r>
        <w:rPr>
          <w:b/>
        </w:rPr>
        <w:t>E. 4</w:t>
      </w:r>
    </w:p>
    <w:p>
      <w:r>
        <w:t>Non sono assegnate spese ripetibili.</w:t>
      </w:r>
    </w:p>
    <w:p>
      <w:r>
        <w:rPr>
          <w:b/>
        </w:rPr>
        <w:t>E. 5</w:t>
      </w:r>
    </w:p>
    <w:p>
      <w:r>
        <w:t>Comunicazione a: - ricorrente (atto giudiziario; allegato: formulario «indirizzo per il pagamento») - autorità inferiore (allegati: incarto Simic [...] di ritorno; scritti del ricorrente del 13 e 22 aprile 2016 con documenti annessi) - Sezione della popolazione, Bellinzona, per informazione I rimedi giuridici sono menzionati alla pagina seguente. Il presidente del collegio: Il cancelliere: Daniele Cattaneo Reto Peterhans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