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C-4007/2022 vom 9. Januar 2024</w:t>
      </w:r>
    </w:p>
    <w:p>
      <w:r>
        <w:t>Bundesverwaltungsgericht, 2024-01-09, DE</w:t>
      </w:r>
    </w:p>
    <w:p>
      <w:r>
        <w:rPr>
          <w:b/>
        </w:rPr>
        <w:t xml:space="preserve">Quelle: </w:t>
      </w:r>
      <w:r>
        <w:t>https://mcp.opencaselaw.ch/entscheid/bvger_C-4007_2022</w:t>
      </w:r>
    </w:p>
    <w:p>
      <w:r>
        <w:t>FR: TAF C-4007/2022 du 9 janvier 2024</w:t>
      </w:r>
    </w:p>
    <w:p>
      <w:r>
        <w:t>IT: TAF C-4007/2022 del 9 gennaio 2024</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50 Abs. 1, Art. 52 Abs. 1 und Art. 63 Abs. 4 VwVG).</w:t>
      </w:r>
    </w:p>
    <w:p>
      <w:r>
        <w:rPr>
          <w:b/>
        </w:rPr>
        <w:t>E. 2</w:t>
      </w:r>
    </w:p>
    <w:p>
      <w:r>
        <w:t>Anfechtungsobjekt und damit Begrenzung des Streitgegenstandes des vorliegenden Beschwerdeverfahrens (vgl. BGE 131 V 164 E. 2.1) bildet die Verfügung vom 15. August 2022, mit der die Vorinstanz auf das Leistungs- begehren des Beschwerdeführers nicht eingetreten ist. Streitig und zu prü- fen ist, ob der Nichteintretensentscheid zu Recht erfolgt ist.</w:t>
      </w:r>
    </w:p>
    <w:p>
      <w:r>
        <w:t>C-4007/2022 Seite 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4.1</w:t>
      </w:r>
    </w:p>
    <w:p>
      <w:r>
        <w:t>Der Beschwerdeführer ist österreichischer Staatsangehöriger,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4.2</w:t>
      </w:r>
    </w:p>
    <w:p>
      <w:r>
        <w:t>Der Versicherungsträger prüft die Begehren, nimmt die notwendigen Abklärungen von Amtes wegen vor und holt die erforderlichen Auskünfte ein (Art. 43 Abs. 1 ATSG). Wer Versicherungsleistungen beansprucht, muss unentgeltlich alle Auskünfte erteilen, die zur Abklärung des An- spruchs und zur Festsetzung der Versicherungsleistungen erforderlich sind (Art. 28 Abs. 2 ATSG). Kommen die versicherte Person oder andere Per- sonen, die Leistungen beanspruchen, den Auskunfts- oder</w:t>
      </w:r>
    </w:p>
    <w:p>
      <w:r>
        <w:t>C-4007/2022 Seite 5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 gemessene Bedenkzeit einzuräumen (Art. 43 Abs. 3 ATSG). Die Verlet- zung der Auskunfts- oder Mitwirkungspflicht ist nur massgebend, wenn sie auf die versicherte Person bzw. auf die leistungsbeanspruchende Person zurückgeht. Wird die Auskunftspflicht durch einen Arzt oder einen Arbeit- geber nicht befolgt, kann dies nicht zum Vorgehen gemäss Art. 43 Abs. 3 ATSG führen. Vielmehr ist in solchen Fällen mittels sonstiger Abklärungs- massnahmen anzustreben, den massgebenden Sachverhalt zu erstellen (vgl. UELI KIESER, ATSG-Kommentar, 4. Aufl. 2020, Art. 43, Rz. 100). Die Beweislast für den Nachweis der Mahnung obliegt dem Verwaltungsträger (vgl. UELI KIESER, a.a.O., Art. 43, Rz. 104).</w:t>
      </w:r>
    </w:p>
    <w:p>
      <w:r>
        <w:rPr>
          <w:b/>
        </w:rPr>
        <w:t>E. 4.3</w:t>
      </w:r>
    </w:p>
    <w:p>
      <w:r>
        <w:t>Gemäss Art. 57a Abs. 1 IVG teilt die IV-Stelle der versicherten Person den vorgesehenen Endentscheid über ein Leistungsbegehren oder den Entzug oder die Herabsetzung einer bisher gewährten Leistung mittels Vor- bescheid mit. Zwischenentscheide schliessen das Verfahren nicht ab, son- dern stellen bloss einen Schritt auf dem Weg zum Endentscheid dar. Zwi- schenentscheide sind nicht mittels Vorbescheid mitzuteilen (URS MÜLLER, Das Verwaltungsverfahren in der Invalidenversicherung, Bern, 2010, Rz. 2086). Die versicherte Person hat Anspruch auf rechtliches Gehör im Sinne von Art. 42 ATSG. Der Gehörsanspruch im Rahmen des Vorbe- scheidverfahrens geht über den verfassungsrechtlichen minimalen Ge- hörsanspruch hinaus (MEYER/REICHMUTH, Rechtsprechung des Bundes- gerichts zum IVG, 4. Aufl. 2022, Art. 57a Rz. 4). Ein Vorbescheid ist auch dann zu erlassen, wenn ein Mahn- und Bedenkzeitverfahren durchgeführt wurde und eine versicherte Person beispielsweise einer angeordneten Be- gutachtung immer noch nicht Folge leistet und die IV-Stelle den Rentenan- spruch gestützt auf die vorhandenen Akten ablehnen will: Der Wortlaut von Art. 57a Abs. 1 IVG ist eindeutig; ein vorgesehener Endentscheid über ein Leistungsbegehren (oder den Entzug oder die Herabsetzung einer bisher gewährten Leistung) ist mit einem Vorbescheid mitzuteilen (URS MÜLLER, a.a.O., Rz. 2102; Urteil des BGer 9C_742/2018 vom 18. Dezember 2018 E. 6.3). Ohne Erlass eines Vorbescheides oder einer Verfügung können bestimmte Leistungen gemäss Art. 74ter Bst. a–g IVV zugesprochen oder weiter ausgerichtet werden, sofern die Anspruchsvoraussetzungen offen- sichtlich erfüllt und den Begehren der versicherten Person vollumfänglich entsprochen wird.</w:t>
      </w:r>
    </w:p>
    <w:p>
      <w:r>
        <w:t>C-4007/2022 Seite 6</w:t>
      </w:r>
    </w:p>
    <w:p>
      <w:r>
        <w:rPr>
          <w:b/>
        </w:rPr>
        <w:t>E. 5.1</w:t>
      </w:r>
    </w:p>
    <w:p>
      <w:r>
        <w:t>Den Akten ist zu entnehmen, dass die Vorinstanz den Beschwerdefüh- rer mit Schreiben vom 22. März 2022 aufgefordert hat, Unterlagen, die zur Prüfung des Leistungsbegehrens notwendig sind, einzureichen. Da der Be- schwerdeführer dieser Aufforderung nicht nachgekommen ist, hat ihn die Vorinstanz mit eingeschriebenem Brief vom 20. Mai 2022 gemahnt und da- rauf hingewiesen, dass nach Ablauf der angesetzten Frist von 30 Tagen auf das Gesuch nicht eingetreten würde. Aus formeller Sicht hat die Vor- instanz das Mahn- und Bedenkzeitverfahren korrekt durchgeführt.</w:t>
      </w:r>
    </w:p>
    <w:p>
      <w:r>
        <w:rPr>
          <w:b/>
        </w:rPr>
        <w:t>E. 5.2</w:t>
      </w:r>
    </w:p>
    <w:p>
      <w:r>
        <w:t>In materieller Hinsicht ist zu beanstanden, dass die Vorinstanz die Ver- letzung der Auskunfts- oder Mitwirkungspflicht unter anderem auf die Nicht- einreichung des vom letzten Arbeitgeber auszufüllenden und unterzeich- neten Fragebogens über die Arbeits- und Lohnverhältnisse von Unselb- ständigerwerbenden stützt. Die Nichtbefolgung der Auskunftspflicht durch den letzten Arbeitgeber geht nicht auf den Beschwerdeführer zurück und kann nicht zum Vorgehen gemäss Art. 43 Abs. 3 ATSG führen (vgl. vorste- hende E. 4.2).</w:t>
      </w:r>
    </w:p>
    <w:p>
      <w:r>
        <w:rPr>
          <w:b/>
        </w:rPr>
        <w:t>E. 5.3</w:t>
      </w:r>
    </w:p>
    <w:p>
      <w:r>
        <w:t>Ungeachtet dessen hätte die Vorinstanz nach Durchführung des Mahn- und Bedenkzeitverfahrens am 15. August 2022 noch keine Nichteintre- tensverfügung erlassen dürfen. Da es sich dabei um einen Endentscheid betreffend Leistungsbegehren handelt und keine Ausnahme gemäss Art. 74ter IVV vorliegt, hätte sie zuerst einen Vorbescheid über den vorge- sehenen Entscheid erlassen müssen (vgl. vorstehende E. 4.3; Urteil des BVGer C-5082/2019 vom 26. Februar 2020 E. 3.2). Die Verfügung vom 15. August 2022 ist folglich aufzuheben.</w:t>
      </w:r>
    </w:p>
    <w:p>
      <w:r>
        <w:rPr>
          <w:b/>
        </w:rPr>
        <w:t>E. 6</w:t>
      </w:r>
    </w:p>
    <w:p>
      <w:r>
        <w:t>Zusammenfassend ergibt sich, dass die Verfügung vom 15. August 2022 mangels Durchführung des Vorbescheidverfahrens aufzuheben ist. Die Be- schwerde ist deshalb insoweit gutzuheissen, als die angefochtene Verfü- gung aufzuheben und die Sache zur Wiederaufnahme des Verfahrens und anschliessendem Entscheid über das Leistungsbegehren des Beschwer- deführers an die Vorinstanz zurückzuweisen ist.</w:t>
      </w:r>
    </w:p>
    <w:p>
      <w:r>
        <w:t>C-4007/2022 Seite 7</w:t>
      </w:r>
    </w:p>
    <w:p>
      <w:r>
        <w:rPr>
          <w:b/>
        </w:rPr>
        <w:t>E. 7.1</w:t>
      </w:r>
    </w:p>
    <w:p>
      <w:r>
        <w:t>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137 V 210 E. 7.1; 132 V 215 E. 6; Urteil des BGer 8C_897/2017 vom 14. Mai 2018 E. 4.1). Dem obsiegenden Beschwerdeführer sind keine Verfahrenskosten aufzu- erlegen. Damit entfaltet die Gutheissung des Gesuchs um Gewährung der unentgeltlichen Rechtspflege mit Zwischenverfügung vom 1. Dezember 2022 keine Rechtsfolgen. Der Vorinstanz sind ebenfalls keine Verfahrens- kosten aufzuerlegen (vgl.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C-4007/2022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