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C-3/2008 vom 19. September 2008</w:t>
      </w:r>
    </w:p>
    <w:p>
      <w:r>
        <w:t>Bundesverwaltungsgericht, 2008-09-19, IT</w:t>
      </w:r>
    </w:p>
    <w:p>
      <w:r>
        <w:rPr>
          <w:b/>
        </w:rPr>
        <w:t xml:space="preserve">Quelle: </w:t>
      </w:r>
      <w:r>
        <w:t>https://mcp.opencaselaw.ch/entscheid/bvger_C-3_2008</w:t>
      </w:r>
    </w:p>
    <w:p>
      <w:r>
        <w:t>FR: TAF C-3/2008 du 19 septembre 2008</w:t>
      </w:r>
    </w:p>
    <w:p>
      <w:r>
        <w:t>IT: TAF C-3/2008 del 19 settembre 2008</w:t>
      </w:r>
    </w:p>
    <w:p>
      <w:pPr>
        <w:pStyle w:val="Heading2"/>
      </w:pPr>
      <w:r>
        <w:t>Regeste</w:t>
      </w:r>
    </w:p>
    <w:p>
      <w:r>
        <w:t>Entrata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pari a Fr. 600.-, sono poste a carico del ricorrente e sono computate con l'anticipo dello stesso importo versato in data 25 gennaio 2008.</w:t>
      </w:r>
    </w:p>
    <w:p>
      <w:r>
        <w:rPr>
          <w:b/>
        </w:rPr>
        <w:t>E. 3</w:t>
      </w:r>
    </w:p>
    <w:p>
      <w:r>
        <w:t>Comunicazione a: - ricorrente (Raccomandata) - autorità inferiore (incarto 2682478.7 di ritorno) - Sezione dei permessi e dell'immigrazione, Bellinzona, per informazione (incarto cantonale di ritorno) - La presidente del collegio: Il cancelliere: Elena Avenati-Carpani Graziano Mordasini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