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C-39/2006 vom 18. März 2008</w:t>
      </w:r>
    </w:p>
    <w:p>
      <w:r>
        <w:t>Bundesverwaltungsgericht, 2008-03-18, IT</w:t>
      </w:r>
    </w:p>
    <w:p>
      <w:r>
        <w:rPr>
          <w:b/>
        </w:rPr>
        <w:t xml:space="preserve">Quelle: </w:t>
      </w:r>
      <w:r>
        <w:t>https://mcp.opencaselaw.ch/entscheid/bvger_C-39_2006</w:t>
      </w:r>
    </w:p>
    <w:p>
      <w:r>
        <w:t>FR: TAF C-39/2006 du 18 mars 2008</w:t>
      </w:r>
    </w:p>
    <w:p>
      <w:r>
        <w:t>IT: TAF C-39/2006 del 18 marzo 2008</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dinanzi al TAF. I ricorsi pendenti presso le commissioni federali di ricorso o d'arbitrato o presso i servizi dei ricorsi dei dipartimenti al 1° gennaio 2007 sono trattati dal TAF sulla base del nuovo diritto processuale (art. 53 cpv. 2 LTAF).</w:t>
      </w:r>
    </w:p>
    <w:p>
      <w:r>
        <w:rPr>
          <w:b/>
        </w:rPr>
        <w:t>E. 2</w:t>
      </w:r>
    </w:p>
    <w:p>
      <w:r>
        <w:t>L'entrata in vigore, il 1° gennaio 2008, della legge federale sugli stranieri del 16 dicembre 2005 (LStr, RS 142.20) ha comportato l'abrogazione della legge federale del 26 marzo 1931 concernente la dimora e il domicilio degli stranieri (vLDDS del 1931, CS 1 117) conformemente all'art. 125 LStr (in relazione con la cifra I del suo allegato), e di alcune ordinanze d'esecuzione quali, in particolare, in virtù dell'art. 39 dell'ordinanza del 24 ottobre 2007 concernente la procedura d'entrata e di rilascio del visto (OPEV, RS 142.204) nonché dell'art. 91 dell'ordinanza del 24 ottobre 2007 sull'ammissione, il soggiorno e l'attività lucrativa (OASA, RS 142.201), l'ordinanza d'esecuzione del 1° marzo 1949 della legge federale concernente la dimora e il domicilio degli stranieri (vODDS del 1949, RU 1949 I 233), l'ordinanza del 14 gennaio 1998 concernente l'entrata e la notificazione degli stranieri (vOEnS, RU 1998 194) e l'ordinanza del 6 ottobre 1986 che limita l'effettivo degli stranieri (vOLS, RU 1986 1791). Conformemente all'art. 126 cpv. 1 LStr, alle procedure introdotte prima del 1° gennaio 2008 rimangono tuttavia applicabili le vecchie disposizioni di legge (cfr. sentenza del Tribunale amministrativo federale C-3912/2007 del 14 febbraio 2008 consid. 2). La decisione impugnata è stata emessa prima dell'entrata in vigore della LStr; per la valutazione materiale del suddetto ricorso ci si deve quindi riferire alla vecchia normativa, segnatamente all'art. 13 cpv. 1 vLDDS, come pure alle corrispondenti disposizioni d'applicazione.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toccato direttamente dalla decisione impugnata, ha diritto di ricorrere (art. 48 PA) e il suo ricorso, presentato nella forma e nei termini prescritti dalla legge, è ricevibile (cfr. art. 50 e 52 PA).</w:t>
      </w:r>
    </w:p>
    <w:p>
      <w:r>
        <w:rPr>
          <w:b/>
        </w:rPr>
        <w:t>E. 4</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vLDDS). Fintanto che vale questo divieto, lo straniero non potrà varcare il confine, senza il permesso esplicito dell'autorità che l'ha emanato (art. 13 cpv. 1 3a frase vLDDS). Il divieto d'entrata previsto all'art. 13 cpv. 1 vLDDS non costituisce una pena né riveste carattere infamante, bensì configura un provvedimento amministrativo di controllo, destinato ad impedire che uno straniero, la cui presenza in Svizzera è stata ritenuta indesiderata, vi ritorni all'insaputa dell'autorità (cfr. Giurisprudenza delle autorità amministrative della Confederazione [GAAC]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5</w:t>
      </w:r>
    </w:p>
    <w:p>
      <w:r>
        <w:t>L'art. 13 vLDDS è applicabile ai cittadini degli Stati membri dell'Unione europea e ai loro familiari solo se l'Accordo bilaterale del 21 giugno 1999 tra la Comunità Europea ed i suoi Stati membri da una parte, e la Confederazione Svizzera, dall'altra, in materia di libera circolazione delle persone (ALC, RS 0.142.112.681) non dispone altrimenti (cfr. art. 1 let. a LDDS). A._______ è cittadino italiano. Di conseguenza nella valutazione della presente causa è necessario tenere conto anche delle disposizioni dell'ALC.</w:t>
      </w:r>
    </w:p>
    <w:p>
      <w:r>
        <w:rPr>
          <w:b/>
        </w:rPr>
        <w:t>E. 5.1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5.2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5.3</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e il fatto di fondarsi unicamente su dei motivi generali di natura preventiva. La sola esistenza di condanne penali non può automaticamente giustificare l'adozione di tali provvedimenti (art. 3 par. 2 della direttiva 64/221/CEE).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5.4</w:t>
      </w:r>
    </w:p>
    <w:p>
      <w:r>
        <w:t>Tuttavia 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w:t>
      </w:r>
    </w:p>
    <w:p>
      <w:r>
        <w:rPr>
          <w:b/>
        </w:rPr>
        <w:t>E. 6</w:t>
      </w:r>
    </w:p>
    <w:p>
      <w:r>
        <w:t>Dagli atti di causa risulta che A._______ ha riconosciuto aver acquistato circa 140 armi, verosimilmente tutte illegalmente destinate all'estero, per la maggior parte pistole e fucili con relativa munizione, che sono state vendute a persone provenienti dall'Italia (le quali risultano essere legate ad organizzazioni criminali italiane) e, in qualche caso, dallo stesso trasportate e rivendute nella vicina Penisola (cfr. stralci dei verbali di interrogatorio del ricorrente del 14 gennaio 2005, 22 marzo 2005 e 15 aprile 2005).</w:t>
      </w:r>
    </w:p>
    <w:p>
      <w:r>
        <w:rPr>
          <w:b/>
        </w:rPr>
        <w:t>E. 6.1</w:t>
      </w:r>
    </w:p>
    <w:p>
      <w:r>
        <w:t>Nel suo gravame del 16 giugno 2005, il ricorrente ha dichiarato che a suo carico era stata aperta unicamente un'inchiesta preliminare e che quindi, in assenza di una condanna penale cresciuta in giudicato ed in virtù del principio "in dubio pro reo", non era possibile considerarlo uno straniero indesiderabile ai sensi dell'art. 13 cpv. 1 vLDDS. Il principio della presunzione di innocenza ("in dubio pro reo"), garantito dall'art. 32 cpv. 1 della Costituzione federale della Confederazione svizzera del 18 aprile 1999 (Cst, RS 101), nonché dall'art. 6 cifra 2 della Convenzione del 4 novembre 1950 per la salvaguardia dei diritti dell'uomo e delle libertà fondamentali (CEDU, RS 0.101), trova applicazione unicamente nel diritto penale. Il divieto d'entrata in oggetto, al contrario, non costituisce una sanzione di carattere penale, ma bensì una misura preventiva di polizia (cfr. DTF 129 IV 246 consid. 3.2, sentenze del Tribunale amministrativo federale C-88/2006 del 13 giugno 2007 consid. 5.1; C-103/2006 dell'8 agosto 2007 consid. 5.1 e riferimenti ivi citati). L'emanazione di una misura di divieto d'entrata in Svizzera malgrado l'assenza di una decisione cresciuta in giudicato non configura quindi una violazione del principio della presunzione di innocenza ancorato nella Costituzione. A questo titolo giova inoltre rilevare che, a norma di una consolidata prassi e giurisprudenza, l'autorità amministrativa non è vincolata dalle considerazioni del giudice penale. Il Tribunale federale ha in effetti sancito che il principio secondo il quale l'autorità amministrativa, basandosi su criteri di valutazione che le sono propri, è talvolta portata a dedurre dalle stesse circostanze altre conseguenze di quelle dedotte dal giudice penale, va rispettato così come stabilito dal legislatore federale (cfr. DTF 131 II 352 consid 4.3.2. e giurisprudenza ivi citata). Nella misura in cui l'autorità competente in materia di polizia degli stranieri non persegue il medesimo scopo di quella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(DTF 129 II 215 consid. 3.2 e giurisprudenza ivi citata). L'argomentazione sollevata dal ricorrente in merito alla presunta violazione del principio "in dubio pro reo" non può pertanto essere presa in considerazione.</w:t>
      </w:r>
    </w:p>
    <w:p>
      <w:r>
        <w:rPr>
          <w:b/>
        </w:rPr>
        <w:t>E. 6.2</w:t>
      </w:r>
    </w:p>
    <w:p>
      <w:r>
        <w:t>A._______ ha riconosciuto di avere venduto un'ingente quantità di armi (circa 140), sia in Ticino che in C._______, a persone che l'inchiesta ha dimostrato essere collegate ad organizzazioni criminali italiane (cfr. stralci dei verbali di interrogatorio del ricorrente del 14 gennaio 2005, 22 marzo 2005 e 15 aprile 2005), violando di conseguenza la legge federale del 20 giugno 1997 sulle armi, gli accessori di armi e le munizioni (LArm, RS 514.54). Gli atti illeciti riconosciuti dal ricorrente riguardano crimini particolarmente pericolosi per l'ordine pubblico (cfr. DTF 131 II 352 consid. 4.3.1;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77). Le persone coinvolte in questo tipo di traffici devono pertanto attendersi all'adozione di misure di allontanamento o di rifiuto di entrata dettate dalla legittima necessità di proteggere la collettività dai gravi pericoli legati alla circolazione di armi. A._______ ha dichiarato di aver venduto illegalmente un ingente numero di armi (circa 140) per un lasso di tempo alquanto prolungato (per tutti gli anni novanta). Nel corso di una perquisizione effettuata in data 13 gennaio 2005 presso un'abitazione di B._______, affittata dal ricorrente sotto false generalità, la polizia federale ha inoltre rinvenuto una pistola, un vecchio fucile e della munizione, di cui l'interessato ha riconosciuto essere proprietario. Egli ha quindi reiterato il suo comportamento delittuoso per un lungo periodo e perfino posteriormente al suo rimpatrio confermato su ricorso dal Tribunale amministrativo del canton Ticino il 12 febbraio 2001. Alla luce di quanto esposto, si deve pertanto ritenere l'esistenza a tutt'oggi di una minaccia attuale e di un bisogno di sicurezza elevato, tali da giustificare l'adozione di una misura tendente alla prevenzione di nuove attività delittuose in relazione con la menzionata legislazione. L'autorità di prime cure ha dunque applicato in modo appropriato i principi della regolamentazione comunitaria e della giurisprudenza della CGCE concernente la gravità, la realtà e l'attualità della minaccia che il ricorrente rappresenta per la sicurezza e l'ordine pubblici. Pertanto, tenuto conto degli interessi pubblici fondamentali in gioco, il Tribunale ritiene che il provvedimento emanato dall'autorità intimata sia giustificato anche ai sensi delle disposizioni dell'ALC.</w:t>
      </w:r>
    </w:p>
    <w:p>
      <w:r>
        <w:rPr>
          <w:b/>
        </w:rPr>
        <w:t>E. 6.3</w:t>
      </w:r>
    </w:p>
    <w:p>
      <w:r>
        <w:t>Di transenna si rileva che, contrariamente a quanto da esso sostenuto nel suo ricorso del 16 giugno 2005, l'interessato ha avuto dei problemi con la giustizia durante la sua lunga permanenza sul territorio della Confederazione. Egli è stato infatti condannato a diverse riprese, seppur per reati di lieve entità, dalle competenti autorità elvetiche tra il 1985 ed il 2003. In conclusione, sebbene il procedimento penale aperto nei confronti di A._______ sia tutt'ora in corso, tenuto conto di quanto esposto, si deve ritenere che il ricorrente costituisce una minaccia per la sicurezza sufficientemente reale, attuale e grave, tale da giustificare una misura di allontanamento ai sensi dell'art. 5 dell'Allegato I ALC. Esiste pertanto un interesse pubblico preponderante di carattere conservativo al mantenimento del divieto d'entrata pronunciato nei suoi confronti.</w:t>
      </w:r>
    </w:p>
    <w:p>
      <w:r>
        <w:rPr>
          <w:b/>
        </w:rPr>
        <w:t>E. 7</w:t>
      </w:r>
    </w:p>
    <w:p>
      <w:r>
        <w:t>Il divieto d'entrata in Svizzera è quindi confermato nel suo principio. Resta ora da stabilire se la sua durata, fissata a cinque anni dall'autorità intimata, è adeguata alle circostanze del caso concreto.</w:t>
      </w:r>
    </w:p>
    <w:p>
      <w:r>
        <w:rPr>
          <w:b/>
        </w:rPr>
        <w:t>E. 7.1</w:t>
      </w:r>
    </w:p>
    <w:p>
      <w:r>
        <w:t>Al momento di pronunciare un divieto d'entrata, l'autorità amministrativa è tenuta a rispettare i principi dell'uguaglianza, della proporzionalità e deve astenersi da qualsiasi arbitrio (André Grisel, Traité de droit administratif,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per raggiungere lo scopo perseguito dalla misura amministrativa e che sussista un rapporto ragionevole fra lo scopo perseguito e la restrizione alla libertà personale che ne consegue (cfr. DTF 130 I 65 consid. 3.5.1; 128 II 292 consid. 5.1; 126 I 219 consid. 2c; Giurisprudenza delle autorità amministrative della Confederazione [GAAC] 64.36 consid. 4b, 63.1 consid. 12c).</w:t>
      </w:r>
    </w:p>
    <w:p>
      <w:r>
        <w:rPr>
          <w:b/>
        </w:rPr>
        <w:t>E. 7.2</w:t>
      </w:r>
    </w:p>
    <w:p>
      <w:r>
        <w:t>Nella fattispecie gli atti illeciti di cui A._______ ha espressamente riconosciuto essere colpevole costituiscono dei crimini particolarmente pericolosi per l'ordine pubblico e riguardano beni giuridici estremamente sensibili. Quo alla situazione personale, i legami del ricorrente con la Svizzera devono essere relativizzati. Egli ha certo vissuto sul territorio della Confederazione tra il 1968 ed il 2001, quindi per oltre 30 anni, ma è stato allontanato dalla Svizzera nell'estate del 2001 a seguito del suo comportamento riprovevole. Per quanto attiene le sue relazioni familiari, l'interessato con il suo comportamento, in particolare con l'inottemperanza all'obbligo di versare gli alimenti per i due figli nati dalla sua seconda relazione, ha dimostrato che questi legami non sono così stretti come da esso sostenuto. Dalle considerazioni che precedono, ne deriva che l'interesse pubblico all'allontanamento di A._______ dalla Svizzera prevale su quello privato di quest'ultimo ad entrarvi. Di conseguenza, da una corretta valutazione degli interessi pubblici e privati in gioco, emerge che il divieto d'entrata di cinque anni è adeguato alle circostanze del caso concreto (art. 49 lett. c PA).</w:t>
      </w:r>
    </w:p>
    <w:p>
      <w:r>
        <w:rPr>
          <w:b/>
        </w:rPr>
        <w:t>E. 8</w:t>
      </w:r>
    </w:p>
    <w:p>
      <w:r>
        <w:t>Ne discende che l'UFM con decisione del 17 maggio 2005 non ha violato il diritto federale, né abusato del suo potere d'apprezzamento;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vanno poste a carico del ricorrente (art. 63 cpv. 1 PA in relazione con gli art. 1-3 del regolamento sulle tasse e sulle spese ripetibili nelle cause dinanzi al Tribunale amministrativo federale dell'11 dicembre 2006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