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C-3996/2010 vom 17. Januar 2011</w:t>
      </w:r>
    </w:p>
    <w:p>
      <w:r>
        <w:t>Bundesverwaltungsgericht, 2011-01-17, DE</w:t>
      </w:r>
    </w:p>
    <w:p>
      <w:r>
        <w:rPr>
          <w:b/>
        </w:rPr>
        <w:t xml:space="preserve">Quelle: </w:t>
      </w:r>
      <w:r>
        <w:t>https://mcp.opencaselaw.ch/entscheid/bvger_C-3996_2010</w:t>
      </w:r>
    </w:p>
    <w:p>
      <w:r>
        <w:t>FR: TAF C-3996/2010 du 17 janvier 2011</w:t>
      </w:r>
    </w:p>
    <w:p>
      <w:r>
        <w:t>IT: TAF C-3996/2010 del 17 gennaio 2011</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7</w:t>
      </w:r>
    </w:p>
    <w:p>
      <w:r>
        <w:t>Gemäss Anhang I zur Verordnung (EG) Nr. 539/2001 des Rates vom 15. März 2001 (ABl. L 81 vom 21.03.2001, S. 1-7; zum vollständigen Quellennachweis vgl. Fussnote zu Art. 4 Abs. 1 VEV) unterliegt die Gesuchstellerin der Visumspflicht.</w:t>
      </w:r>
    </w:p>
    <w:p>
      <w:r>
        <w:rPr>
          <w:b/>
        </w:rPr>
        <w:t>E. 8.1</w:t>
      </w:r>
    </w:p>
    <w:p>
      <w:r>
        <w:t>Zur Prüfung des Kriteriums der gesicherten Wie­derausreise muss ein zukünftiges Verhalten beurteilt werden. Dazu lassen sich in der Re­gel keine gesicherten Feststellungen, sondern lediglich Prognosen treffen. Dabei sind sämtliche Umstände des konkreten Einzelfalles zu würdigen.</w:t>
      </w:r>
    </w:p>
    <w:p>
      <w:r>
        <w:rPr>
          <w:b/>
        </w:rPr>
        <w:t>E. 8.2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8.3</w:t>
      </w:r>
    </w:p>
    <w:p>
      <w:r>
        <w:t>Mit einen jährlichen Pro-Kopf-Einkommen von 1'850 Euro ist die Republik Kosovo eines der ärmsten Länder Europas. Darüber hinaus ist es mit einem Wert von 47% auch das Land mit der höchsten Arbeitslosenrate in ganz Europa. Dazu kommen noch 29% Unterbeschäftigte. Der Armutsanteil der Bevölkerung liegt bei 45%; 17% der Staatsbürger leben sogar in extremer Armut (vgl. www.worldbank.org &gt; Countries &gt; Kosovo &gt; Overview &gt; Country Brief 2010, Stand: Oktober 2010, besucht am 10. Januar 2011). Vor diesem Hintergrund war auch in den Jahren seit Beendigung der kriegerischen Auseinandersetzungen der verbreitete Wunsch zur Auswanderung festzustellen. Ein im Ausland bereits bestehendes, minimales soziales Beziehungsnetz aus Verwandten oder Freunden erwies sich dabei immer als wichtiges Element. Der Zuwanderungsdruck spiegelte sich in der Vergangenheit denn auch in der schweizerischen Asylstatistik wider. So stammten noch im Jahre 2009 4,3% der Asylsuchenden (694 Gesuche) aus dem Kosovo, womit das Land in der Statistik der Asylgesuche nach Nationen an siebter Stelle lag (Quelle: www.bfm.admin.ch &gt; Dokumentation &gt; Zahlen und Fakten &gt; Asylstatistik &gt; Jahresstatistiken &gt; kommentierte Asylstatistik 2009, S. 10). Seit dem 1. April 2009 gilt der Kosovo als verfolgungssicherer Staat (Safe Country), dies gemäss Beschluss des Bundesrates vom 6. März 2009. Dieser Entscheid zeigte im vergangenen Jahr zwar Wirkung: So stellten im 1. und 2. Quartal 2010 jeweils nur noch 140 Personen aus dem Kosovo hier ein Asylgesuch, und im 3. Quartal 2010 erschien das Land nicht mehr unter den ersten 10 Nationen der Herkunftsländer von Asylgesuchstellern (Quelle: Bundesamt für Migration, a.a.O. &gt; Dokumentation &gt; Zahlen und Fakten &gt; Asylstatistik &gt; Monatsstatistiken &gt; kommentierte Asylstatistiken 1., 2. und 3. Quartal 2010). Diese Entwicklung vermag aber nicht über den Umstand hinwegzutäuschen, dass im Kosovo nach wie vor eine hohe Bereitschaft zur Auswanderung besteht.</w:t>
      </w:r>
    </w:p>
    <w:p>
      <w:r>
        <w:rPr>
          <w:b/>
        </w:rPr>
        <w:t>E. 8.4</w:t>
      </w:r>
    </w:p>
    <w:p>
      <w:r>
        <w:t>Bei der Risikoanalyse sind allerdings nicht nur solche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9.1</w:t>
      </w:r>
    </w:p>
    <w:p>
      <w:r>
        <w:t>Bei der Gesuchstellerin handelt es sich um eine 21-jährige, kinderlose Frau. Sie ist zwar verheiratet, was auf gewisse Bindungen und Verpflichtungen gegenüber ihrem unmittelbaren familiären Umfeld schliessen lassen könnte. Sie wohnt offenbar auch mit Angehörigen ihres Ehegatten zusammen. Andererseits hielt sich der Ehegatte selbst im Zeitpunkt des Visumantrags erklärtermassen nicht im Kosovo, sondern in einem Drittstaat (Montenegro) auf. Über den Zweck und die Dauer dieses Auslandaufenthalts kann den Akten nichts Näheres entnommen werden. Der Beschwerdeführer verzichtete darauf, die persönliche Lebensgestaltung der Gesuchstellerin und ihres Ehemannes im Detail offenzulegen, dies obwohl die Vorinstanz die Landesabwesenheit des Ehemannes in der angefochtenen Verfügung erwähnt hatte. Doch selbst wenn die Abwesenheit des Ehegatten nur vorübergehender Natur gewesen sein sollte, könnten Verhältnisse dieser Art (zurückbleibende Familienangehörige) für sich allein noch keine Garantie für eine fristgerechte und anstandslose Wiederausreise nach einem Besuchsaufenthalt bilden. Wesentliche Bedeutung kommt hier den wirtschaftlichen Gegebenheiten zu, in denen sich die Betroffenen befinden. Denn die Emigration kann gerade mit der Hoffnung verbunden sein, nahe Angehörige aus dem Ausland effizienter unterstützen und später nachziehen zu können.</w:t>
      </w:r>
    </w:p>
    <w:p>
      <w:r>
        <w:rPr>
          <w:b/>
        </w:rPr>
        <w:t>E. 9.2</w:t>
      </w:r>
    </w:p>
    <w:p>
      <w:r>
        <w:t>Die Gesuchstellerin geht keiner Erwerbstätigkeit nach. Sie selbst bezeichnete sich im Visumantragsformular als Hausfrau. Weitere Tätigkeiten oder begonnene Ausbildungen erwähnte sie nicht. Demgegenüber gab der Beschwerdeführer in der Rechtsmitteleingabe an, die Gesuchstellerin besuche Ausbildungskurse und helfe auf dem Bauernhof ihres Schwiegervaters mit. Zudem unterstütze sie noch ihre Herkunftsfamilie. Der Beschwerdeführer verzichtete jedoch auch in diesem Zusammenhang darauf, das von ihm behauptete Engagement der Gesuchstellerin im Detail offen zu legen. Alles in allem kann nicht davon ausgegangen werden, dass die Gesuchstellerin und ihr Ehemann in wirtschaftlich vorteilhaften Verhältnissen leben würden. Entsprechend sind daher auch in den beruflichen und wirtschaftlichen Verhältnissen keine Besonderheiten erkennbar, welche eine Emigration als unwahrscheinlich erscheinen liessen.</w:t>
      </w:r>
    </w:p>
    <w:p>
      <w:r>
        <w:rPr>
          <w:b/>
        </w:rPr>
        <w:t>E. 9.3</w:t>
      </w:r>
    </w:p>
    <w:p>
      <w:r>
        <w:t>Vor dem aufgezeigten Hintergrund konnte die Vorinstanz davon ausgehen, dass keine hinreichende Gewähr für eine fristgerechte und anstandslose Wiederausreise der Gesuchstellerin nach einem Besuchsaufenthalt besteht. Die Rechtmässigkeit dieser Einschätzung lässt sich auch mit anderslautenden Zusicherungen des Beschwerdeführers nicht in Frage stellen. Als Gastgeber kann dieser mit rechtlich verbindlicher Wirkung zwar für bestimmte finanzielle Risiken im Zusammenhang mit dem Besuchsaufenthalt, nicht aber für ein bestimmtes Tun oder Unterlassen seines Gastes einstehen (vgl. in diesem Zusammenhang BVGE 2009/27 E. 9). Aus dem gleichen Grund kann auch nicht entscheidend sein, dass schon andere Verwandte beim Beschwerdeführer zu Besuch waren und gemäss seiner Darstellung wieder fristgerecht in den Kosovo zurückgekehrt sein sollen.</w:t>
      </w:r>
    </w:p>
    <w:p>
      <w:r>
        <w:rPr>
          <w:b/>
        </w:rPr>
        <w:t>E. 9.4</w:t>
      </w:r>
    </w:p>
    <w:p>
      <w:r>
        <w:t>Gründe für die Ausstellung eines Visums mit räumlich beschränkter Gültigkeit (vgl. E. 6 vorstehend) wurden vom Beschwerdeführer nicht geltend gemacht und sind auch sonst nicht ersichtlich.</w:t>
      </w:r>
    </w:p>
    <w:p>
      <w:r>
        <w:rPr>
          <w:b/>
        </w:rPr>
        <w:t>E. 10</w:t>
      </w:r>
    </w:p>
    <w:p>
      <w:r>
        <w:t>Aus vorstehenden Erwägungen folgt, dass die angefochtene Verfügung im Lichte von Art. 49 VwVG nicht zu beanstanden ist. Die Beschwerde ist daher abzuweisen.</w:t>
      </w:r>
    </w:p>
    <w:p>
      <w:r>
        <w:rPr>
          <w:b/>
        </w:rPr>
        <w:t>E. 11</w:t>
      </w:r>
    </w:p>
    <w:p>
      <w:r>
        <w:t>Mit Abweisung der Beschwerde wird der Beschwerdeführer kosten­pflichtig (Art. 63 Abs. 1 VwVG, Art. 1, 2 und 3 Bst. b des Reglements vom 21. Februar 2008 über die Kosten und Ent­schädigungen vor dem Bundesverwaltungsgericht [VGKE,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