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C-3993/2011 vom 24. November 2011</w:t>
      </w:r>
    </w:p>
    <w:p>
      <w:r>
        <w:t>Bundesverwaltungsgericht, 2011-11-24, FR</w:t>
      </w:r>
    </w:p>
    <w:p>
      <w:r>
        <w:rPr>
          <w:b/>
        </w:rPr>
        <w:t xml:space="preserve">Quelle: </w:t>
      </w:r>
      <w:r>
        <w:t>https://mcp.opencaselaw.ch/entscheid/bvger_C-3993_2011</w:t>
      </w:r>
    </w:p>
    <w:p>
      <w:r>
        <w:t>FR: TAF C-3993/2011 du 24 novembre 2011</w:t>
      </w:r>
    </w:p>
    <w:p>
      <w:r>
        <w:t>IT: TAF C-3993/2011 del 24 novembre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LAVS, RS 831.10 connaît des recours contre les décisions prises par la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3.1</w:t>
      </w:r>
    </w:p>
    <w:p>
      <w:r>
        <w:t>Conformément à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3.2</w:t>
      </w:r>
    </w:p>
    <w:p>
      <w:r>
        <w:t>L'art. 50 du Règlement sur l'assurance-vieillesse et survivants du 31 octobre 1947 (RAVS ; RS 831.101) prévoit qu'une année de cotisations est entière lorsqu'une personne a été assurée au sens des art. 1 a ou 2 LAVS pendant plus de onze mois au total.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3.3</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 enregistrement de cotisations acquittées peut être corrigé (jugement non publié du Tribunal fédéral des assurances en la cause B. du 13 novembre 1987).</w:t>
      </w:r>
    </w:p>
    <w:p>
      <w:r>
        <w:rPr>
          <w:b/>
        </w:rPr>
        <w:t>E. 3.4</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254). L'autorité dirige la procédure, elle définit les faits pertinents et les preuves nécessaires, qu'elle ordonne et apprécie d'office (art. 12 LPA; ATF 110 V 199; 105 Ib 114; Moor, op. cit., p. 259).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4.1</w:t>
      </w:r>
    </w:p>
    <w:p>
      <w:r>
        <w:t>Dans le cas particulier est contestée la durée de la période de cotisations AVS/AI suisse à la base de la décision d'octroi de la rente. En l'occurrence, la CSC a retenu une durée de cotisation d'une année et 2 mois basée sur le compte individuel du recourant duquel il ressort qu'il avait travaillé 8 mois en 1973 et 6 mois en 1974.</w:t>
      </w:r>
    </w:p>
    <w:p>
      <w:r>
        <w:rPr>
          <w:b/>
        </w:rPr>
        <w:t>E. 4.2</w:t>
      </w:r>
    </w:p>
    <w:p>
      <w:r>
        <w:t>Le recourant quant à lui affirme avoir travaillé 50 mois supplémentaires entre avril 1979 et mai 1983 auprès de la société W._______ qui l'employait en Libye.</w:t>
      </w:r>
    </w:p>
    <w:p>
      <w:r>
        <w:rPr>
          <w:b/>
        </w:rPr>
        <w:t>E. 4.3</w:t>
      </w:r>
    </w:p>
    <w:p>
      <w:r>
        <w:t>La Cour de céans observe que la CSC, conformément à la jurisprudence précitée (cf. consid. 3.4), a effectué, après les observations du recourant, une recherche auprès de la Caisse de compensation de la SSE. Les informations obtenues n'ont pas permis de trouver trace de cotisations entre 1979 et 1983. En effet, même si le recourant a prouvé par différentes pièces qu'il avait travaillé en Libye auprès de la société suisse W._______ entre 1979 et 1983, il ne ressort d'aucun document qu'il aurait cotisé à l'AVS/AI suisse. Le recourant d'ailleurs ne produit aucun certificat de salaire et la seule pièce concernant le règlement définitif de sa collaboration auprès de la société suisse ne mentionne nullement des cotisations à l'AVS. En outre, le contrat de maçon entre le recourant et W._______ ne contient pas non plus de références aux assurances sociales suisses. D'ailleurs, la documentation exhibée par le recourant, notamment la convention spéciale stipulée le 28 septembre 1979 (pce 7 p. 25 à 28), prouve que pendant la durée de son travail en Lybie, il était soumis à un régime d'assurances espagnol spécial pour travailleurs migrants dans la construction. Ainsi, il appert que bien que le recourant ait travaillé pour une société suisse entre 1979 et 1983, il n'a pas cotisé à l'AVS et ainsi cette période ne peut pas être comptabilisée dans le calcul de la rente de vieillesse.</w:t>
      </w:r>
    </w:p>
    <w:p>
      <w:r>
        <w:rPr>
          <w:b/>
        </w:rPr>
        <w:t>E. 5</w:t>
      </w:r>
    </w:p>
    <w:p>
      <w:r>
        <w:t>Selon l'art. 1 al. 1 aLAVS (en vigueur de 1979 à 1983, moments des faits déterminants) les personnes physiques qui ont leur domicile civil en Suisse (let. a) et/ou les personnes physiques qui exercent en Suisse une activité lucrative (let. b) sont assurées conformément à la LAVS. Il ressort des documents de la cause que pendant la période de 1979 à 1983, le recourant n'avait pas de domicile en Suisse puisque les différentes lettres et autres contrats étaient systématiquement envoyés à son domicile en Espagne. Ainsi, il ne remplissait pas la condition de la let. a pour être assuré obligatoirement.</w:t>
      </w:r>
    </w:p>
    <w:p>
      <w:r>
        <w:rPr>
          <w:b/>
        </w:rPr>
        <w:t>E. 5.1</w:t>
      </w:r>
    </w:p>
    <w:p>
      <w:r>
        <w:t>De plus, les pièces au dossier et les déclarations du recourant indiquent clairement que celui-ci a travaillé en Libye entre 1979 et 1983, dès lors il ne remplissait pas non plus la condition de la let. b pour être assuré obligatoirement.</w:t>
      </w:r>
    </w:p>
    <w:p>
      <w:r>
        <w:rPr>
          <w:b/>
        </w:rPr>
        <w:t>E. 5.2</w:t>
      </w:r>
    </w:p>
    <w:p>
      <w:r>
        <w:t>Ainsi, comme il en découle de la loi et des documents, entre 1979 et 1983, le recourant n'était pas soumis à l'AVS et n'a ainsi pas pu cotiser.</w:t>
      </w:r>
    </w:p>
    <w:p>
      <w:r>
        <w:rPr>
          <w:b/>
        </w:rPr>
        <w:t>E. 6</w:t>
      </w:r>
    </w:p>
    <w:p>
      <w:r>
        <w:t>Au vu de ce qui précède, le Tribunal de céans se doit de constater que la CSC a correctement établi la durée de cotisations du recourant et que dès lors elle s'est justement basée sur une durée de cotisation d'un an et 2 mois. Par ailleurs, un examen des autres éléments à la base du calcul de rente permet de conclure que le montant attribué est correct.</w:t>
      </w:r>
    </w:p>
    <w:p>
      <w:r>
        <w:rPr>
          <w:b/>
        </w:rPr>
        <w:t>E. 7</w:t>
      </w:r>
    </w:p>
    <w:p>
      <w:r>
        <w:t>Il appert que le recours est manifestement infondé. Il convient donc de statuer sur le présent litige dans une procédure à juge unique en application de l'art. 85bis al. 3 LAVS en relation avec l'art. 23 al. 2 LTAF.</w:t>
      </w:r>
    </w:p>
    <w:p>
      <w:r>
        <w:rPr>
          <w:b/>
        </w:rPr>
        <w:t>E. 8.1</w:t>
      </w:r>
    </w:p>
    <w:p>
      <w:r>
        <w:t>Il n'est pas perçu de frais de procédure (art. 85bis al. 2 LAVS).</w:t>
      </w:r>
    </w:p>
    <w:p>
      <w:r>
        <w:rPr>
          <w:b/>
        </w:rPr>
        <w:t>E. 8.2</w:t>
      </w:r>
    </w:p>
    <w:p>
      <w:r>
        <w:t>Il n'est pas alloué de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