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C-398/2014 vom 8. Februar 2016</w:t>
      </w:r>
    </w:p>
    <w:p>
      <w:r>
        <w:t>Bundesverwaltungsgericht, 2016-02-08, DE</w:t>
      </w:r>
    </w:p>
    <w:p>
      <w:r>
        <w:rPr>
          <w:b/>
        </w:rPr>
        <w:t xml:space="preserve">Quelle: </w:t>
      </w:r>
      <w:r>
        <w:t>https://mcp.opencaselaw.ch/entscheid/bvger_C-398_2014</w:t>
      </w:r>
    </w:p>
    <w:p>
      <w:r>
        <w:t>FR: TAF C-398/2014 du 8 février 2016</w:t>
      </w:r>
    </w:p>
    <w:p>
      <w:r>
        <w:t>IT: TAF C-398/2014 del 8 febbraio 2016</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im Bereich der beruflichen Vorsorge, zumal diese öffentlich-rechtliche Aufgaben des Bundes erfüllt (Art. 33 Bst. h VGG i.V.m. Art. 60 Abs. 2bis BVG [SR 831.40]). Eine Ausnahme bezüglich des Sachgebiets ist vorliegend nicht gegeben (Art. 32 VGG).</w:t>
      </w:r>
    </w:p>
    <w:p>
      <w:r>
        <w:rPr>
          <w:b/>
        </w:rPr>
        <w:t>E. 1.2</w:t>
      </w:r>
    </w:p>
    <w:p>
      <w:r>
        <w:t>Angefochten ist der Verwaltungsakt der Auffangeinrichtung vom 4. Dezember 2013 (act. 1/1), welcher eine Verfügung im Sinne von Art. 5 Abs. 1 VwVG darstellt. Dagegen hat die Beschwerdeführerin frist- und formgerecht (Art. 50 und 52 VwVG) Beschwerde erhoben. Als Adressatin ist sie durch die angefochtene Verfügung besonders berührt und hat ein schutzwürdiges Interesse an deren Änderung oder Aufhebung (Art. 48 Abs. 1 Bst. a-c VwVG). Nachdem auch der geforderte Kostenvorschuss fristgerecht geleistet worden ist,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2.2</w:t>
      </w:r>
    </w:p>
    <w:p>
      <w:r>
        <w:t>Im Beschwerdeverfahren gilt die Untersuchungsmaxime, wonach der Sachverhalt von Amtes wegen festzustellen ist (Art. 12 VwVG). Dennoch trifft die beschwerdeführende Partei eine Rüge- und Substantiierungspflicht, ändert der Untersuchungsgrundsatz doch nichts an der materiellen Beweislast. Diese richtet sich nach der allgemeinen Beweislastregel von Art. 8 ZGB, wonach derjenige die Folgen der Beweislosigkeit zu tragen hat, der aus einer unbewiesen gebliebenen Tatsache Rechte ableiten will (Urteil des BVGer B-7428/2010 vom 31. Mai 2011 E. 4.2). Von den Verfahrensbeteiligten nicht aufgeworfene Rechtsfragen werden von der Beschwerdeinstanz nur geprüft, wenn hierzu aufgrund der Parteivorbringen oder anderer sich aus den Akten ergebender Anhaltspunkte hinreichender Anlass besteht (BGE 119 V 347 E. 1a).</w:t>
      </w:r>
    </w:p>
    <w:p>
      <w:r>
        <w:rPr>
          <w:b/>
        </w:rPr>
        <w:t>E. 2.3</w:t>
      </w:r>
    </w:p>
    <w:p>
      <w:r>
        <w:t>Strittig und nachfolgend zu prüfen ist, ob die Vorinstanz zu Recht die Beschwerdeführerin zur Zahlung von Fr. 169'736.30 inklusive Fr. 150.- Mahn- und Inkassokosten plus Zins von 5% verpflichtet und den Rechtsvorschlag in diesem Umfang aufgehoben hat, und ob die Vorinstanz der Beschwerdeführerin zudem zu Recht Betreibungskosten von Fr. 203.- in Rechnung gestellt sowie Kosten für die angefochtene Verfügung von Fr. 450.- erhoben hat.</w:t>
      </w:r>
    </w:p>
    <w:p>
      <w:r>
        <w:rPr>
          <w:b/>
        </w:rPr>
        <w:t>E. 3.1</w:t>
      </w:r>
    </w:p>
    <w:p>
      <w:r>
        <w:t>Wie eingangs dargelegt (vgl. Sachverhalt A), wurde die Beschwerdeführerin für die Zeit vom 1. Januar 2004 bis zum 31. Dezember 2006 und ab dem 1. Februar 2010 der Vorinstanz zwangsmässig angeschlossen. Vom 1. Januar 2007 bis zum 31. Januar 2010 war sie der PK AETAS angeschlossen. Während der Dauer des Anschlusses an die Vorinstanz beschäftigte die Beschwerdeführerin folgende BVG-pflichtigen Arbeitnehmende (vgl. AHV-Lohnabrechnungen [Vorakten 12/6]): 2004 - 2006 - C._______ (Austritt 31. Dezember 2009) - D._______ (Austritt 31. Mai 2007) - E._______ (Austritt 31. Dezember 2008) - F._______ (Austritt 31. Oktober 2007) - Y._______ 2010 - G._______ - H._______ - Y._______ - I._______ (Austritt 28. Februar 2010) - K._______ (Eintritt 1. August 2010) 2011 - L._______ - G._______ (Austritt 30. September 2011) - M._______ (Eintritt 1. Oktober 2011) - N._______ (Eintritt 1. August 2011) - H._______ - Y._______ 2012 - M._______ (Austritt 31. Juli 2012) - N._______ - H._______ - Y._______ - O._______ (Eintritt 1. August 2012) 2013 - O._______ - N._______ - H._______ - Y._______</w:t>
      </w:r>
    </w:p>
    <w:p>
      <w:r>
        <w:rPr>
          <w:b/>
        </w:rPr>
        <w:t>E. 3.2</w:t>
      </w:r>
    </w:p>
    <w:p>
      <w:r>
        <w:t>Aus der Beitragsrechnung Fakturanummer 1-44742-44140-03-13-1 vom 10. Juli 2003 geht hervor, dass die geschuldeten Beiträge der Arbeitnehmenden O._______, C._______, L._______, G._______, M._______, N._______, H._______, D._______, E._______, K._______, F._______, Y._______, sowie I._______ für die "aktuelle Periode" vom 1. Januar 2013 bis 31. März 2013 sowie für "Vorperioden" in Rechnung angestellt wurden (Vorakten 12/5). Letztere umfassten nach der Vorinstanz die Zeiten vom 1. Januar 2004 bis 31. Dezember 2006 sowie vom 1. Februar 2010 bis 31. Dezember 2012 (vgl. Schreiben der Vorinstanz vom 24. Juli 2013, [Vorakten 12/8]). Die Beschwerdeführerin bestreitet vollumfänglich die Beitragsforderungen und macht geltend, dass sie die Beiträge für einzelne Arbeitnehmer bereits bezahlt habe. Weiter forderte sie in all ihren Eingaben an die Vorinstanz die Zustellung einer korrekten und vor allem nachvollziehbaren Abrechnung. Sinngemäss rügt die Beschwerdeführerin damit eine Verletzung des rechtlichen Gehörs.</w:t>
      </w:r>
    </w:p>
    <w:p>
      <w:r>
        <w:rPr>
          <w:b/>
        </w:rPr>
        <w:t>E. 3.3</w:t>
      </w:r>
    </w:p>
    <w:p>
      <w:r>
        <w:t>Es folgen Ausführungen zum rechtlichen Gehör.</w:t>
      </w:r>
    </w:p>
    <w:p>
      <w:r>
        <w:rPr>
          <w:b/>
        </w:rPr>
        <w:t>E. 3.3.1</w:t>
      </w:r>
    </w:p>
    <w:p>
      <w:r>
        <w:t>Nach Art. 29 Abs. 2 BV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BGer I 3/05 vom 17. Juni 2005 E. 3.1.3 und BGE 132 V 368 E. 3.1).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a.a.O., 115 V 297 E. 2h; RKUV 1992, U 152 S. 199 E. 2e). Gemäss Art. 35 Abs. 1 VwVG müssen schriftliche Verfügungen grundsätzlich immer begründet werden.</w:t>
      </w:r>
    </w:p>
    <w:p>
      <w:r>
        <w:rPr>
          <w:b/>
        </w:rPr>
        <w:t>E. 3.3.2</w:t>
      </w:r>
    </w:p>
    <w:p>
      <w:r>
        <w:t>Die Begründungspflicht ist ein Teilgehalt des verfassungsmässigen Anspruchs auf rechtliches Gehör gemäss Art. 29 Abs. 2 BV (vgl. Ulrich Häfelin/Walter Haller/Helen Keller, Schweizerisches Bundesstaatsrecht, 8. Aufl., 2012, Rz. 838).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124 V 180 E. 1a; BVGE 2012/23 E. 6.1.2, je mit Hinweisen).</w:t>
      </w:r>
    </w:p>
    <w:p>
      <w:r>
        <w:rPr>
          <w:b/>
        </w:rPr>
        <w:t>E. 3.3.3</w:t>
      </w:r>
    </w:p>
    <w:p>
      <w:r>
        <w:t>Das Bundesverwaltungsgericht hat in seinem Urteil C-1899/2011 vom 15. Oktober 2013, E. 4.3 ausgeführt, welche Angaben eine Beitragsverfügung zu enthalten hat, damit die Anforderungen an die Begründungspflicht erfüllt sind, nämlich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w:t>
      </w:r>
    </w:p>
    <w:p>
      <w:r>
        <w:rPr>
          <w:b/>
        </w:rPr>
        <w:t>E. 3.4</w:t>
      </w:r>
    </w:p>
    <w:p>
      <w:r>
        <w:t>In der vorliegend angefochtenen Verfügung wird zur Begründung der Beitragsforderung auf die Faktura Nr. 1-44742-44140-03-13-1 vom 10. Juli 2013 (act. 1/10) verwiesen. In dieser wird eine gesamte Forderungssumme von Fr. 169'586.30 angegeben. Für jeden Arbeitnehmenden wird jeweils die gesamte Forderungssumme für die aktuelle Periode sowie der Vorperioden aufgeführt. Es wird jedoch nicht genügend dargelegt, wie die eingeforderten Beträge berechnet werden. Es werden 13 Personen als aktive Versicherte aufgelistet, wodurch aber die vorstehend aufgeführten Versichertenbestände nicht nachvollziehbar abgebildet sind. Es fehlen die Angaben zur Versicherungsdauer der einzelnen Personen, sodann fehlen Angaben zum AHV-Lohn, zum koordinierten Lohn, zum Beitragssatz, zur Höhe des Verzugszinses und zur Zinsperiode. Die Vorinstanz hat ihrer Verfügung auch keine detaillierte Übersicht über die Zusammensetzung der Beiträge beigelegt. Die Verfügung enthält lediglich den Hinweis, die für die Versicherung massgebenden Berechnungsgrundlagen seien in Art. 6 und 7 der Allgemeinen Geschäftsbedingungen und in Art. 7 Abs. 2 BVG umschrieben (vgl. Verfügung E. 3 S. 3). Der Einwand der Vorinstanz, der Beschwerdeführerin bereits vor Erlass der Beitragsverfügung eine detaillierte Übersicht über die Berechnungsgrundlagen und die Berechnungsweise zur Kenntnis gebracht zu haben (vgl. angefochtene Verfügung E. 7 S. 3), lässt sich anhand der Akten in keiner Weise belegen. Im Weiteren fehlt die Information zu den in Rechnung gestellten Geschäftskosten von Fr. 2'725.- und den zugrunde liegenden Massnahmen. Nicht nachvollziehbar ist schliesslich die Begründung der Vorinstanz, der Arbeitgeber stelle fest, dass er mit den Beiträgen einverstanden ist (vgl. angefochtene Verfügung E. 8 S. 3 in fine).</w:t>
      </w:r>
    </w:p>
    <w:p>
      <w:r>
        <w:rPr>
          <w:b/>
        </w:rPr>
        <w:t>E. 3.5</w:t>
      </w:r>
    </w:p>
    <w:p>
      <w:r>
        <w:t>Weiter hat die Vorinstanz der Beschwerdeführerin Mahn- und Inkassokosten von Fr. 150.- auferlegt. Die Vorinstanz ist gestützt auf das Kostenreglement grundsätzlich befugt, im Rahmen des Inkassos Kosten für nicht bezahlte Beitragsabrechnungen in der Höhe von Fr. 50.- pro eingeschriebene Mahnung in Rechnung zu stellen (vgl. Kostenreglement im Anhang zur Anschlussvereinbarung, act. 12/1). Rechtmässig sind solche Gebührenforderungen dann, wenn die Mahnkosten effektiv und zu Recht eingefordert werden. In casu hat die Vorinstanz nicht dargelegt, auf welche Mahnungen sich die Mahn- und Inkassokosten beziehen. Überdies sind die entsprechenden Mahnungen auch nicht aktenkundig. Unter diesen Umständen sind auch die Verzugszinsen von 5% seit 24. September 2013 nicht ausgewiesen, da diese gemäss Ziffer 4 der Anschlussvereinbarung ab Datum einer schriftlichen Mahnung verlangt werden dürfen (vgl. C-1899/2011 E. 5.5).</w:t>
      </w:r>
    </w:p>
    <w:p>
      <w:r>
        <w:rPr>
          <w:b/>
        </w:rPr>
        <w:t>E. 3.6</w:t>
      </w:r>
    </w:p>
    <w:p>
      <w:r>
        <w:t>Die Vorinstanz verfügte unter Dispositivziffer 3 Betreibungsgebühren in Höhe von Fr. 203.-. Hierzu ist sie indes nicht befugt, da gemäss Art. 68 Abs. 1 SchKG (SR 281.1) die Betreibungskosten vom Gläubiger vorzuschiessen sind und die endgültige Belastung der Beschwerdeführerin als Schuldnerin mit Betreibungskosten vom Ausgang des Betreibungsverfahrens abhängt (vgl. Urteile des BVGer C-2381/2006 vom 24. Juli 2007 E. 8., C-7809/2009 vom 29. März 2012 E. 12.3, C-1899/2011 E. 5.4.4). Die angefochtene Verfügung erweist sich in diesem Punkt als rechtswidrig.</w:t>
      </w:r>
    </w:p>
    <w:p>
      <w:r>
        <w:rPr>
          <w:b/>
        </w:rPr>
        <w:t>E. 3.7</w:t>
      </w:r>
    </w:p>
    <w:p>
      <w:r>
        <w:t>In Dispositivziffer 4 erhob die Vorinstanz für den Erlass der angefochtenen Verfügung, mithin für die Aufhebung des Rechtsvorschlags, eine Gebühr in Höhe von Fr. 450.-. Dazu ist zu bemerken, dass die Gebühren für die Aufhebung des Rechtsvorschlags nicht nach dem Kostenreglement der Auffangeinrichtung, sondern nach der Gebührenverordnung zum SchKG (GebV SchKG, SR 281.35) zu bemessen ist (vgl. Urteile des BVGer C-6790/2008 vom 2. Dezember 2010 E. 5.3, C-1899/2011 E. 5.4.3). Gemäss Art. 48 GebV SchKG bestimmt sich die Spruchgebühr nach dem Streitwert; bei einem Streitwert von über Fr. 100'000.- und bis Fr. 1'000'000.- hat sich die Spruchgebühr zwischen Fr. 70.- und Fr. 1'000.- zu bewegen. Die angefochtene Verfügung enthält keinen Hinweis darüber, auf welcher Grundlage die genannten Fr. 450.- geschuldet sein sollen. Damit erweist sich die angefochtene Verfügung auch in diesem Punkt als mangelhaft.</w:t>
      </w:r>
    </w:p>
    <w:p>
      <w:r>
        <w:rPr>
          <w:b/>
        </w:rPr>
        <w:t>E. 4</w:t>
      </w:r>
    </w:p>
    <w:p>
      <w:r>
        <w:t>Zusammenfassend ist festzustellen, dass die Erfordernisse an die Begründungsdichte mit der angefochtenen Verfügung nicht erfüllt sind. Die Vorinstanz ist ihrer Begründungspflicht daher nicht nachgekommen, worin eine Verletzung des rechtlichen Gehörs zu erblicken ist (vgl. dazu Urteil des BVGer C-7809/2009 vom 29. März 2012 E. 2.3). Eine Heilung ist im vorliegenden Beschwerdeverfahren nicht möglich (vgl. Urteile des BVGer C-6034/2009 vom 20. Januar 2010 E. 4.3.2, C-1122/2013 vom 21. Oktober 2014 E. 6). Die Verfügung erweist sich auch hinsichtlich der Auferlegung der Kosten des Betreibungsbegehrens und der Kosten für die angefochtene Verfügung als rechtswidrig. Die Sache ist deshalb zur Neubeurteilung an die Vorinstanz zurückzuweisen.</w:t>
      </w:r>
    </w:p>
    <w:p>
      <w:r>
        <w:rPr>
          <w:b/>
        </w:rPr>
        <w:t>E. 5</w:t>
      </w:r>
    </w:p>
    <w:p>
      <w:r>
        <w:t>Zu befinden bleibt über die Verfahrenskosten und eine allfällige Parteientschädigung.</w:t>
      </w:r>
    </w:p>
    <w:p>
      <w:r>
        <w:rPr>
          <w:b/>
        </w:rPr>
        <w:t>E. 5.1</w:t>
      </w:r>
    </w:p>
    <w:p>
      <w:r>
        <w:t>Das Bundesverwaltungsgericht auferlegt gemäss Art. 63 Abs. 1 VwVG die Verfahrenskosten in der Regel der unterliegenden Partei. Da die Rückweisung praxisgemäss als Obsiegen der beschwerdeführenden Partei gilt (BGE 132 V 215 E. 6), sind der Beschwerdeführerin keine Verfahrenskosten aufzuerlegen. Der geleistete Kostenvorschuss von Fr. 2'500.- ist der Beschwerdeführerin nach Eintritt der Rechtskraft des vorliegenden Urteils auf ein von ihr anzugebendes Konto zurückzuerstatten. Der Vorinstanz werden keine Verfahrenskosten auferlegt (Art. 63 Abs. 2 VwVG).</w:t>
      </w:r>
    </w:p>
    <w:p>
      <w:r>
        <w:rPr>
          <w:b/>
        </w:rPr>
        <w:t>E. 5.2</w:t>
      </w:r>
    </w:p>
    <w:p>
      <w:r>
        <w:t>Der obsiegenden, jedoch nicht anwaltlich vertretenen Beschwerdeführerin sind keine verhältnismässig hohen Kosten im Sinne von Art. 64 Abs. 1 VwVG entstanden, weshalb ihr keine Parteientschädigung auszurichten ist. Die Vorinstanz hat keinen Anspruch auf Ausrichtung einer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