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C-3988/2012 vom 26. August 2013</w:t>
      </w:r>
    </w:p>
    <w:p>
      <w:r>
        <w:t>Bundesverwaltungsgericht, 2013-08-26, DE</w:t>
      </w:r>
    </w:p>
    <w:p>
      <w:r>
        <w:rPr>
          <w:b/>
        </w:rPr>
        <w:t xml:space="preserve">Quelle: </w:t>
      </w:r>
      <w:r>
        <w:t>https://mcp.opencaselaw.ch/entscheid/bvger_C-3988_2012</w:t>
      </w:r>
    </w:p>
    <w:p>
      <w:r>
        <w:t>FR: TAF C-3988/2012 du 26 août 2013</w:t>
      </w:r>
    </w:p>
    <w:p>
      <w:r>
        <w:t>IT: TAF C-3988/2012 del 26 agosto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Darunter fallen u.a. Entscheidungen des BFM, mit denen die Erteilung eines Schengen-Visums verweigert wird (vgl. Art. 32 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gemäss Art. 48 Abs. 1 VwVG zur Beschwerde legitimiert.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Die Beschwerdeführer rügen in formeller Hinsicht eine Verletzung des Anspruchs auf rechtliches Gehör (vgl. Art. 29 Abs. 2 der Bundesverfassung der Schweizerischen Eidgenossenschaft vom 18. April 1999 [BV, SR 101] sowie Art. 29 ff. VwVG). Die Vorinstanz habe wesentliche Sachumstände nicht berücksichtigt und ihren Entscheid nur schematisch begründet. Auch die Vernehmlassung setze sich nicht mit dem Einzelfall auseinander.</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Bern 2000, S. 202 ff.; ANDREAS AUER/GIORGIO MALINVERNI/MICHEL HOTTELIER, Droit constitutionnel suisse Vol. II. Les droits fondamentaux, 2. Aufl., Bern 2006, S. 606 ff.; Jörg Paul Müller/Markus Schefer, Grundrechte in der Schweiz, 4. Aufl., Bern 2008, S. 846 ff.). Gleichsam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Bernhard Waldmann/Jürg Bickel, in: Waldmann/Weissen­berger [Hrsg.], Praxiskommentar VwVG, Zürich 2009, Art. 29 N 80 ff., Art. 30 N 3 ff. u. Art. 32 N 7 ff.; Alfred Kölz/Isabelle Häner/Martin Bertschi, Verwaltungsverfahren und Verwaltungsrechtspflege des Bundes, 3. Aufl., Zürich/Basel/Genf 2013, N 214 ff. u. N 546 f.). Aus dem Anspruch auf rechtliches Gehör folgt sodann auch die Pflicht der Behörden, ihren Entscheid zu begründen (Art. 35 VwVG). Die Begründungspflicht soll verhindern, dass die Behörden sich von unsachlichen Motiven leiten lassen, und ist demnach ein Element rationaler und transparenter Entscheidfindung. Die Betroffenen sollen in die Lage versetzt werden, den Entscheid sachgerecht anzufechten. Zudem ermöglicht die Begründung die Kontrolle durch die Rechtsmittelinstanz. Die Behörde hat die wesentlichen Überlegungen zu nennen, von denen sie sich leiten liess und auf die sie ihren Entscheid stützt. Die Anforderungen an die Begründung sind umso höher, je weiter der Entscheidungsspielraum und je komplexer die Sach- und Rechtslage ist (vgl. BGE 137 II 266 E. 3.2; BGE 136 I 229 E. 5.2; BGE 133 I 270 E. 3.1; BVGE 2012/24 E.3.2.1; BVGE 2009/35 E. 6.4.1; BVGE 2007/27 E. 5.5.2; Kölz/Häner/Bertschi, a.a.O., N 629 ff.; Lorenz Kneubühler, Die Begründungspflicht, Bern 1998, S. 22 ff.; René Wiederkehr, Die Begründungspflicht nach Art. 29 Abs. 2 BV und die Heilung bei Verletzung, ZBl 2010 S. 484 ff.).</w:t>
      </w:r>
    </w:p>
    <w:p>
      <w:r>
        <w:rPr>
          <w:b/>
        </w:rPr>
        <w:t>E. 3.3</w:t>
      </w:r>
    </w:p>
    <w:p>
      <w:r>
        <w:t>Die Begründung des angefochtenen Entscheids erscheint prima facie als relativ ausführlich; freilich handelt es sich überwiegend um Textbausteine. Mit Bezug auf das im vorliegenden Fall zentrale Kriterium der gesicherten Wiederausreise (vgl. Art. 5 Abs. 2 des Ausländergesetzes vom 16. Dezember 2005 [AuG, SR 142.20] sowie Art. 14 Abs. 1 Bst. d und Art. 21 Abs. 1 Visakodex [Abl. L 243 vom 15. September 2009]) legte die Vorinstanz die Praxis betreffend Visa-Gesuche von Personen aus Regionen mit starkem Zuwanderungsdruck dar und führte anschliessend Folgendes aus: « Wie den Gesuchs­unterlagen zu entnehmen ist, handelt es sich bei der Gesuchstellerin um eine [...] ungebundene Person; sie ist jung, unverheiratet und geht keiner Erwerbstätigkeit nach. Mangels anderer Belege und Umstände ist daher davon auszugehen, dass ihr keine besonderen beruflichen, familiären oder gesellschaftlichen Verpflichtungen obliegen, welche das vorgängig beschriebene Risiko einer nicht anstandslosen Wiederausreise als entsprechend gering erscheinen lassen könnte. » Die Vorinstanz setzte sich jedoch weder mit den in der Einsprache vom 4. Mai 2012 gemachten Ausführungen des Rechtsvertreters betreffend Garantieerklärungen, Zweck des Besuchs etc. noch mit den Erklärungen des Beschwerdeführers vom 5. Juni 2012 betreffend Beziehung, Zukunftspläne, familiäre und berufliche Situation des Gasts etc. auseinander (vgl. BFM act. 1 u. act. 7, S. 127 ff.). Es fällt sodann auf, dass in der Begründung nicht darauf Bezug genommen wird, dass die 34-jährige Beschwerdeführerin seit dem Jahr 2011 geschieden ist, auf einem Bauernhof mit ihren Eltern als Landwirtin arbeitet und einen 9-jährigen Sohn hat, der zwar - gemäss Aussagen des Beschwerdeführers - beim Vater und dessen neuer Partnerin lebe, der aber ca. zweimal monatlich am Wochenende bei der Beschwerdeführerin auf Besuch sei, wobei dieser Kontakt für Mutter und Kind sehr wichtig sei (vgl. BFM act. 7 S. 102 f. u. S. 133). Wohl darf sich die Behörde bei der Nennung der Überlegungen, von denen sie sich bei ihrem Entscheid leiten liess, auf die wesentlichen Gesichtspunkte beschränken, und muss sich dementsprechend nicht mit allen Parteistandpunkten einlässlich auseinandersetzen und jedes einzelne Vorbringen ausdrücklich widerlegen (vgl. BGE 136 I 229 E. 5.2). Zudem ist das Visumverfahren ein sog. Massengeschäft, in dem die erstinstanzliche Behörde gestützt auf den Effizienzgrundsatz speditiv entscheiden muss, weshalb von ihr nicht allzu einlässliche Begründungen erwartet werden dürfen (vgl. Kneubühler, a.a.O., S. 179). Diese Überlegungen sind auch dann zu beachten, wenn der Behörde - wie bei der Beurteilung von Visagesuchen - ein relativ weiter Entscheidungsspielraum zukommt. Aus Gründen der Praktikabilität und Speditivität darf die Behörde sodann auch Textbausteine einsetzen. Deren Einsatz darf indes nicht dazu führen, dass keine dem konkreten Fall noch angemessene Begründung mehr erfolgt. Die Würdigung der Parteivorbringen muss sich auch in solchen Fällen insoweit in der Begründung niederschlagen, als die vorgebrachten Einwendungen für den Entscheid wesentlich sind (vgl. Kölz/Häner/Bertschi, a.a.O., N 630 ff.; Walter Kälin, Rechtliche Anforderungen an die Verwendung von Textbausteinen für die Begründung von Verwaltungsverfügungen, ZSR 1988 I S. 452 ff.; BGE 121 I 54 E. 2c; BVGE 2008/47 E. 3.3.3). Vorliegend hat das BFM jedoch mit dem nur schematisch begründeten, kaum auf den konkreten Fall Bezug nehmenden Einspracheentscheid nicht zu erkennen gegeben, inwieweit es sich mit den wesentlichen Vorbringen der Beschwerdeführer auseinandergesetzt und eine einzelfallbezogene Prüfung vorgenommen hat, wie sie Art. 32 VwVG verlangt. Die angefochtene Verfügung vom 20. Juni 2012 ist deshalb mangelhaft begründet und lässt überdies darauf schliessen, dass weder der Sachverhalt noch die erheblichen Parteivorbringen mit dem - auch im sog. Massengeschäft - erforderlichen Mindestmass an Sorgfalt geprüft wurden (vgl. Art. 12 und Art. 32 VwVG; Kälin, a.a.O., S. 455; Waldmann/Bickel, Praxiskommentar VwVG, Art. 32 N 18).</w:t>
      </w:r>
    </w:p>
    <w:p>
      <w:r>
        <w:rPr>
          <w:b/>
        </w:rPr>
        <w:t>E. 3.4</w:t>
      </w:r>
    </w:p>
    <w:p>
      <w:r>
        <w:t>Die Vorinstanz hat auf diese Weise den Anspruch der Beschwerdeführer auf rechtliches Gehör verletzt.</w:t>
      </w:r>
    </w:p>
    <w:p>
      <w:r>
        <w:rPr>
          <w:b/>
        </w:rPr>
        <w:t>E. 4.1</w:t>
      </w:r>
    </w:p>
    <w:p>
      <w:r>
        <w:t>Eine Verletzung des Anspruchs auf rechtliches Gehör führt ungeachtet der Erfolgsaussichten der Beschwerde in der Sache selbst grundsätzlich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Diese « Heilung » der Gehörsverletzung setzt überdies voraus, dass kein Kognitionsgefälle besteht und der betroffenen Partei kein unzumutbarer Nachteil entsteht (vgl. BGE 138 III 225 E. 3.3; BGE 135 I 279 E. 2.6; BVGE 2012/24 E. 3.4 je mit Hinweisen). Bei Verstössen gegen die Begründungspflicht wird der Mangel als behoben erachtet, wenn die erstinstanzliche Behörde im Beschwerdeverfahren eine hinreichende Begründung nachschiebt und die Partei dazu angehört wird (vgl. Kölz/Häner/Bertschi, a.a.O., N 645; Kneubühler, a.a.O., S. 214; Urteil des Bundesgerichts 2C_762/2011 vom 15. Juni 2012 E. 4.1; Urteile des Bundesverwaltungsgerichts C-970/2010 vom 11. März 2013 E. 3.4 und A-1681/2006 vom 13. März 2008 E. 2.4). Auf diese Weise sollen unnötige Verzögerungen vermieden werden, die nicht mit dem Interesse der Betroffenen an einer beförderlichen Beurteilung der Sache in Einklang gebracht werden könnten. Hingegen gilt es zu vermeiden, dass die Aufgaben der erstinstanzlich verfügenden Behörde auf die Beschwerdeinstanz verlagert werden (vgl. BVGE 2012/24 E. 3.4 mit Hinweisen), und dass die Vorinstanz darauf vertraut, von ihr missachtete Verfahrensrechte würden systematisch nachträglich geheilt. Ansonsten verlören die gerade für das erstinstanzliche Verfahren vorgesehenen prozessualen Garantien ihren Sinn (vgl. BGE 126 II 111 E. 6b/aa in fine mit Hinweisen).</w:t>
      </w:r>
    </w:p>
    <w:p>
      <w:r>
        <w:rPr>
          <w:b/>
        </w:rPr>
        <w:t>E. 4.2</w:t>
      </w:r>
    </w:p>
    <w:p>
      <w:r>
        <w:t>Die Vorinstanz brachte in ihrer Vernehmlassung vor, ihr Entscheid sei entgegen der Ausführungen in der Beschwerdeschrift nicht knapp und schematisch begründet: « Bei der Beurteilung wurden die Einschätzungen der kantonalen Behörde und der Schweizer Vertretung in Bangkok, die mit den Verhältnissen vor Ort bestens vertraut ist, berücksichtigt. Die Beschwerdeführerin ist jung, ledig und hat keine Kinder. Zudem ist sie nicht erwerbstätig. » Die Beschwerdeführer beanstandeten in ihrer Replik u.a. diese - insbesondere in Bezug auf den Zivilstand und die Kinderlosigkeit klarerweise aktenwidrige - Aussage ausdrücklich (« Der Beschwerdegegner [...] hat namentlich verkannt, dass aufgrund des tatsächlich gelebten Kindesverhältnisses eine Bindung zum Herkunftsland besteht, die gegen die Annahme einer nicht gesicherten Wiederausreise spricht »). Die Vorinstanz setzte sich daraufhin in der Duplik zwar erstmals mit verschiedenen anderen Vorbringen der Beschwerdeführer auseinander (insb. betreffend Dauer und Intensität der Beziehung, geplante Wohnsitznahme in Thailand, angebotene Garantieleistungen), nahm jedoch wiederum keinerlei Bezug auf das Kindsverhältnis resp. auf die geltend gemachte familiäre Bindung ans Herkunftsland.</w:t>
      </w:r>
    </w:p>
    <w:p>
      <w:r>
        <w:rPr>
          <w:b/>
        </w:rPr>
        <w:t>E. 4.3</w:t>
      </w:r>
    </w:p>
    <w:p>
      <w:r>
        <w:t>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Die vorliegende Gehörsverletzung wiegt jedoch nicht leicht, zumal aus der mangelhaften Begründung auch auf eine Verletzung der Prüfungspflicht geschlossen werden muss (s. vorne, E. 3.3). Die Vorinstanz ist im Rahmen des zweifachen Schriftenwechsels erst in der Duplik auf verschiedene Vorbringen der Beschwerdeführer eingegangen, die nicht zum Vornherein als unwesentlich bezeichnet werden können, und hat insbesondere in keiner Weise auf die geltend gemachte familiäre Bindung ans Herkunftsland Bezug genommen. Stattdessen wurde in der Vernehmlassung die aktenwidrige Behauptung aufgestellt, die Beschwerdeführerin sei ledig und kinderlos. Die unterlassenen Verfahrenshandlungen wurden mithin im Rechtsmittelverfahren nicht nachgeholt: weder ist die Vorinstanz ihrer Prüfungspflicht mit der erforderlichen Sorgfalt nachgekommen, noch hat sie eine hinreichende Begründung nachgeschoben. Die festgestellte Gehörsverletzung kann daher vorliegend nicht als geheilt erachtet werden.</w:t>
      </w:r>
    </w:p>
    <w:p>
      <w:r>
        <w:rPr>
          <w:b/>
        </w:rPr>
        <w:t>E. 5</w:t>
      </w:r>
    </w:p>
    <w:p>
      <w:r>
        <w:t>Bei dieser Sachlage ist auf die materiellen Rügen der Beschwerdeführer nicht einzugehen. Fest steht, dass die angefochtene Verfügung Bundesrecht verletzt (Art. 49 Bst. a VwVG). Die Beschwerde ist gutzuheissen, der angefochtene Einspracheentscheid vom 20. Juni 2012 ist aufzuheben, und die Sache ist im Sinne der Erwägungen an das BFM zur Neubeurteilung zurückzuweisen.</w:t>
      </w:r>
    </w:p>
    <w:p>
      <w:r>
        <w:rPr>
          <w:b/>
        </w:rPr>
        <w:t>E. 6.1</w:t>
      </w:r>
    </w:p>
    <w:p>
      <w:r>
        <w:t>Bei diesem Verfahrensausgang sind den Beschwerdeführern keine Kosten aufzuerlegen (vgl. Art. 63 Abs. 1 VwVG; BGE 132 V 215 E. 6.1; MAILLARD, Praxiskommentar VwVG, Art. 63 N 14).</w:t>
      </w:r>
    </w:p>
    <w:p>
      <w:r>
        <w:rPr>
          <w:b/>
        </w:rPr>
        <w:t>E. 6.2</w:t>
      </w:r>
    </w:p>
    <w:p>
      <w:r>
        <w:t>Den Beschwerdeführern ist für die im Verfahren vor dem Bundesverwaltungsgericht erwachsenen notwendigen Kosten eine Parteientschädigung zuzusprechen (vgl. Art. 64 VwVG; Art. 7 ff. des Reglements vom 21. Februar 2008 über die Kosten und Entschädigungen vor dem Bundesverwaltungsgericht [VGKE, SR 173.320.2]). Der Rechtsvertreter der Beschwerdeführer reichte keine detaillierte Kostennote ein (vgl. Art. 14 Abs. 1 VGKE), bezifferte jedoch seinen Zeitaufwand auf 17 Stunden und macht ein Honorar von Fr. 5'150.- zuzüglich 8% MwSt. und Barauslagen von Fr. 180.- geltend. Der geltend gemachte zeitliche Aufwand erscheint indes angesichts der Vorbefassung des Rechtsvertreters, der teils unnötig ausführlichen Rechtsschriften und des nicht besonders komplexen Verfahrens als zu hoch. Zu beachten ist allerdings, dass die Vorinstanz dafür verantwortlich zeichnet, dass im vorliegenden Verfahren mehrere Schriftenwechsel erforderlich waren. In Würdigung aller Bemessungsfaktoren erscheint es daher als angemessen, die Parteientschädigung auf Fr. 3'000.-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