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C-397/2006 vom 1. Oktober 2007</w:t>
      </w:r>
    </w:p>
    <w:p>
      <w:r>
        <w:t>Bundesverwaltungsgericht, 2007-10-01, FR</w:t>
      </w:r>
    </w:p>
    <w:p>
      <w:r>
        <w:rPr>
          <w:b/>
        </w:rPr>
        <w:t xml:space="preserve">Quelle: </w:t>
      </w:r>
      <w:r>
        <w:t>https://mcp.opencaselaw.ch/entscheid/bvger_C-397_2006</w:t>
      </w:r>
    </w:p>
    <w:p>
      <w:r>
        <w:t>FR: TAF C-397/2006 du 1 octobre 2007</w:t>
      </w:r>
    </w:p>
    <w:p>
      <w:r>
        <w:t>IT: TAF C-397/2006 del 1 ottobre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PA prises par les autorités mentionnées à l'art. 33 et l'art. 34 LTAF. En particulier, les décisions en matière de refus d'approbation à la délivrance (respectivement à la prolongation ou au renouvellement) d'une autorisation de séjour et de renvoi de Suisse rendues par l'ODM sont susceptibles d'un recours au TAF (cf. art. 20 al. 1 de la loi fédérale du 26 mars 1931 sur le séjour et l'établissement des étrangers [LSEE, RS 142.20]), qui statue définitivement in casu (cf. art. 1 al. 2 LTAF, en relation avec l'art. 83 let. c ch. 2 et 4 de la loi fédérale du 17 juin 2005 sur le Tribunal fédéral [LTF, RS 173.110] ; cf. également consid. 4.2 infra).</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A._______ a qualité pour recourir (cf. art. 20 al. 1 LSEE, en relation avec l'art. 48 PA). Présenté dans la forme et les délais prescrits par la loi, le recours est recevable (cf. art. 50 et art.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2.3</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 OPADE, RS 142.202], en relation avec l'art. 18 al. 4 LSEE). L'ODM peut refuser son approbation ou limiter la portée de la décision cantonale, notamment en ce qui concerne la durée de l'autorisation et le but du séjour (art. 1 al. 2 OPADE). Le canton ne doit octroyer l'autorisation que si l'ODM a donné son approbation, à défaut de quoi l'autorisation est de nul effet (art. 19 al. 5 RSEE).</w:t>
      </w:r>
    </w:p>
    <w:p>
      <w:r>
        <w:rPr>
          <w:b/>
        </w:rPr>
        <w:t>E. 3.1</w:t>
      </w:r>
    </w:p>
    <w:p>
      <w:r>
        <w:t>En raison de la répartition des compétences en matière de police des étrangers, il appartient aux cantons de statuer sur le refus initial d'une autorisation de séjour ou d'établissement, le refus prononcé par le canton étant alors définitif (art. 18 al. 1 LSEE). En cas d'admission par le canton d'une telle demande, la Confédération est également chargée de se prononcer sur cette autorisation par la voie de la procédure d'approbation (cf. ATF 130 II 49 consid. 2.1 p. 51).</w:t>
      </w:r>
    </w:p>
    <w:p>
      <w:r>
        <w:rPr>
          <w:b/>
        </w:rPr>
        <w:t>E. 3.2</w:t>
      </w:r>
    </w:p>
    <w:p>
      <w:r>
        <w:t>En l'espèce, la compétence décisionnelle appartient à la Confédération en vertu de l'art. 1 al. 1 let. a OPADE (cf. à cet égard le chiffre 132.22 et l'annexe 1/1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03.09.2007). Il s'ensuit que ni le Tribunal, ni l'ODM, ne sont liés par l'arrêt du TA-VD du 9 mars 2004 et peuvent parfaitement s'écarter de l'appréciation faite par les autorités vaudoises de police des étrangers.</w:t>
      </w:r>
    </w:p>
    <w:p>
      <w:r>
        <w:rPr>
          <w:b/>
        </w:rPr>
        <w:t>E. 4.1</w:t>
      </w:r>
    </w:p>
    <w:p>
      <w:r>
        <w:t>Les art. 31 à 36 OLE régissent les conditions de séjour en Suisse des étrangers sans activité lucrative (écoliers, étudiants, curistes, rentiers et enfants placés).</w:t>
      </w:r>
    </w:p>
    <w:p>
      <w:r>
        <w:rPr>
          <w:b/>
        </w:rPr>
        <w:t>E. 4.2</w:t>
      </w:r>
    </w:p>
    <w:p>
      <w:r>
        <w:t>En vertu de l'art. 32 OLE, une autorisation de séjour peut être accordée à un étudiant étranger désireux de fréquenter une université ou un autre institut d'enseignement supérieur en Suisse à la condition notamment que le programme des études soit fixé (let. c) et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130 II 281 consid. 2.1 p. 284, ATF 127 II 161 consid. 1a p. 164, et jurisp. cit.).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Aussi, selon la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w:t>
      </w:r>
    </w:p>
    <w:p>
      <w:r>
        <w:t>Dans la décision querellée, l'Office fédéral a notamment retenu que la sortie du recourant de Suisse au terme de ses études n'apparaissait pas suffisamment assurée (cf. art. 32 let. f OLE). Le Tribunal doit dès lors examiner si, au vu des nouvelles circonstances (notamment, au vu du changement d'orientation d'études), le départ de l'intéressé au terme de sa formation apparaît encore garanti à l'heure actuelle. A ce propos, le Tribunal tient à noter qu'à l'appui de sa demande initiale présentée auprès de l'Ambassade de Suisse à Kinshasa et dans le cadre de la procédure cantonale, A._______ a affirmé sa volonté de réussir ses études à l'EPFL, indiquant notamment, dans son recours au TA-VD du 17 août 2003, que sa motivation à poursuivre ses études était intacte et qu'il avait le droit de se représenter aux examens d'entrée de l'EPFL. Or, en cours de procédure, par écrit adressé le 7 décembre 2003 au TA-VD, l'intéressé a indiqué qu'il renonçait à ses études universitaires et qu'il s'était inscrit dès le mois d'octobre 2003 à l'EPRE pour y suivre des cours d'électronicien, la durée de cette formation étant de quatre ans. Il a également mentionné dans cet écrit que: « un diplôme d'électronicien est très demandé dans mon pays et mon oncle, qui a une grande entreprise de transport, pourra m'engager à mon retour ». Ces explications ne permettent pas de lever les doutes nés de l'attitude passée du recourant. En effet, par son comportement A._______ a démontré, en débutant un nouveau cycle de formation, qu'il ne semblait saisir ni la nature temporaire des autorisations de séjour pour études, ni le fait que leur octroi était régi par l'obligation de réunir des conditions relativement strictes, en particulier s'agissant du programme d'études. Dans ce contexte, par courrier du 8 mai 2007, le Tribunal a expressément demandé à A._______ la date exacte à laquelle il allait passer son diplôme d'électronicien, ainsi qu'un engagement écrit de quitter la Suisse dès son diplôme obtenu. L'intéressé a produit une attestation, établie par l'EIA le 15 mai 2007, selon laquelle il allait terminer sa formation non pas en automne 2007, comme précédemment indiqué (cf. attestation de l'EPRE du 21 septembre 2004), mais en décembre 2007. De plus, il n'a pas fourni l'engagement écrit de quitter la Suisse dès l'obtention de son diplôme d'électronicien, comme le Tribunal le lui demandait. Dans ces circonstances, le Tribunal, à l'instar de l'autorité intimée, ne peut exclure qu'une fois en possession de son diplôme d'électronicien, le recourant ne cherche à poursuivre son séjour en Suisse, que ce soit pour se perfectionner, pour prendre un emploi mieux rémunéré ou pour saisir une opportunité qui s'offrirait à lui. Pour cette raison déjà, il y a lieu de rejeter la demande de prolongation d'une autorisation de séjour pour études déposées par le requérant.</w:t>
      </w:r>
    </w:p>
    <w:p>
      <w:r>
        <w:rPr>
          <w:b/>
        </w:rPr>
        <w:t>E. 7</w:t>
      </w:r>
    </w:p>
    <w:p>
      <w:r>
        <w:t>Sur un autre plan, il convient de relever que, selon la pratique constante, un changement d'orientation en cours de formation ou l'accomplissement d'une formation supplémentaire ne sauraient être admis que dans des cas exceptionnels dûment fondés, vu la politique restrictive d'admission que les autorités suisses sont tenues d'appliquer (cf. consid. 5 supra). Dès lors, le programme initial des études n'ayant pas été respecté (cf. art. 32 let. c OLE), il n'y a pas lieu, pour cette raison également, d'autoriser le recourant à poursuivre son séjour en Suisse. Cela étant, même si le Tribunal n'entend pas contester l'utilité de connaissances en électronique dans un pays tel que la République du Congo et comprend parfaitement les aspirations légitimes du recourant à vouloir les acquérir, il ne saurait cependant reprocher à l'autorité intimée d'avoir excédé ou abusé de son pouvoir d'appréciation en retenant que les conditions posées par l'art. 32 OLE n'étaient pas remplies dans le cas d'espèce.</w:t>
      </w:r>
    </w:p>
    <w:p>
      <w:r>
        <w:rPr>
          <w:b/>
        </w:rPr>
        <w:t>E. 8</w:t>
      </w:r>
    </w:p>
    <w:p>
      <w:r>
        <w:t>Cela étant, le recourant n'invoque pas et, a fortiori, ne démontre pas l'existence d'obstacles à son retour en République du Congo et le dossier ne fait pas non plus apparaître que l'exécution de son renvoi serait illicite, inexigible ou impossible au sens de l'art. 14a al. 2 à 4 LSEE. C'est donc à bon droit que l'ODM a prononcé le renvoi de l'intéressé de Suisse, conformément à l'art. 12 al. 3 LSEE.</w:t>
      </w:r>
    </w:p>
    <w:p>
      <w:r>
        <w:rPr>
          <w:b/>
        </w:rPr>
        <w:t>E. 9</w:t>
      </w:r>
    </w:p>
    <w:p>
      <w:r>
        <w:t>Par sa décision du 17 juin 2004, l'autorité de première instance n'a ainsi ni violé le droit fédéral, ni constaté des faits pertinents de manière inexacte ou incomplète. Partant, le recours doit être rejeté. Vu l'issue de la cause, les frais de procédure sont mis à la charge du recourant (art. 63 al. 1 PA, en relation avec l'art. 1 et l'art. 3 du Règlement concernant les frais, dépens et indemnités fixés par le Tribunal administratif fédéral du 11 décembre 2006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