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C-3977/2008 vom 6. Dezember 2010</w:t>
      </w:r>
    </w:p>
    <w:p>
      <w:r>
        <w:t>Bundesverwaltungsgericht, 2010-12-06, DE</w:t>
      </w:r>
    </w:p>
    <w:p>
      <w:r>
        <w:rPr>
          <w:b/>
        </w:rPr>
        <w:t xml:space="preserve">Quelle: </w:t>
      </w:r>
      <w:r>
        <w:t>https://mcp.opencaselaw.ch/entscheid/bvger_C-3977_2008</w:t>
      </w:r>
    </w:p>
    <w:p>
      <w:r>
        <w:t>FR: TAF C-3977/2008 du 6 décembre 2010</w:t>
      </w:r>
    </w:p>
    <w:p>
      <w:r>
        <w:t>IT: TAF C-3977/2008 del 6 dicembre 2010</w:t>
      </w:r>
    </w:p>
    <w:p>
      <w:pPr>
        <w:pStyle w:val="Heading2"/>
      </w:pPr>
      <w:r>
        <w:t>Regeste</w:t>
      </w:r>
    </w:p>
    <w:p>
      <w:r>
        <w:t>Invalidenversicherung (IV)</w:t>
      </w:r>
    </w:p>
    <w:p>
      <w:pPr>
        <w:pStyle w:val="Heading2"/>
      </w:pPr>
      <w:r>
        <w:t>Erwägungen</w:t>
      </w:r>
    </w:p>
    <w:p>
      <w:r>
        <w:rPr>
          <w:b/>
        </w:rPr>
        <w:t>E. 1</w:t>
      </w:r>
    </w:p>
    <w:p>
      <w:r>
        <w:t>Angefochten ist die Verfügung der IVSTA vom 16. Mai 2008, mit welcher das Gesuch des Versicherten um Ausrichtung einer Rente der schweizerischen Invalidenversicherung abgewiesen worden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Versicherte, der am vorinstanzlichen Verfahren teilgenommen hatte, war als Adressat durch die angefochtene Verfügung besonders berührt und hatte an deren Aufhebung bzw. Änderung ein schutzwürdiges Interesse. Auch die Erben, die ausdrücklich erklärt haben, das Beschwerdeverfahren in eigenem Namen weiterführen zu wollen, sind besonders berührt und haben ein ausreichendes Interesse an der Aufhebung oder Änderung des Entscheides. Sie sind daher zur Beschwerdeführung legitimiert. Nachdem der Kostenvorschuss fristgerecht bezahlt worden ist, kann auf die frist- und formgerecht eingereichte Beschwerde eingetreten werden.</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Verfahrensvorschriften Anwendung, welche im Zeitpunkt der Beschwerdebeurteilung Geltung haben (BGE 130 V 1 E. 3.2, vgl. auch Art. 53 Abs. 2 VVG).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 AHI 2001 S. 113 E. 3a; RKUV 1999 Nr. U 332 S. 193 E. 2a/bb und RKUV 1998 Nr. U 313 S. 475 E. 2a).</w:t>
      </w:r>
    </w:p>
    <w:p>
      <w:r>
        <w:rPr>
          <w:b/>
        </w:rPr>
        <w:t>E. 3</w:t>
      </w:r>
    </w:p>
    <w:p>
      <w:r>
        <w:t>In materiellrechtlicher Hinsicht sind grundsätzlich diejenigen Rechtssätze massgebend, die bei der Erfüllung des zu Rechtsfolgen führenden Tatbestandes Geltung haben. Ein allfälliger Leistungsanspruch ist für die Zeit vor einem Rechtswechsel aufgrund der bisherigen und ab diesem Zeitpunkt nach den neuen Normen zu prüfen (pro rata temporis; vgl. BGE 130 V 445).</w:t>
      </w:r>
    </w:p>
    <w:p>
      <w:r>
        <w:rPr>
          <w:b/>
        </w:rPr>
        <w:t>E. 3.1</w:t>
      </w:r>
    </w:p>
    <w:p>
      <w:r>
        <w:t>Der Versicherte war Staatsangehöriger von Österreich und hatte dort seinen Wohnsitz, so dass vorliegend das am 1. Juni 2002 in Kraft getretene Abkommen vom 21. Juni 1999 zwischen der Schweizerischen Eidgenossenschaft einerseits und der Europäischen Gemeinschaft andererseits über die Freizügigkeit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(EU)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Die Frage, ob und gegebenenfalls ab wann Anspruch auf Leistungen der IV besteht, bestimmt sich daher vorliegend alleine aufgrund der schweizerischen Rechtsvorschriften. Für die Beurteilung eines Rentenanspruchs sind die Feststellungen ausländischer Versicherungsträger, Krankenkassen, Behörden und Ärzte bezüglich Invaliditätsgrad und Anspruchsbeginn für die rechtsanwendenden Behörden in der Schweiz nicht verbindlich (BGE 130 V 253 E. 2.4, AHI-Praxis 1996, S. 179; vgl. auch ZAK 1989 S. 320 E. 2). Vielmehr unterstehen ausländische Beweismittel der freien Beweiswürdigung des Gerichts (vgl. E. 2.3.3 hiervor; Urteil des EVG vom 11. Dezember 1981 i.S. D).</w:t>
      </w:r>
    </w:p>
    <w:p>
      <w:r>
        <w:rPr>
          <w:b/>
        </w:rPr>
        <w:t>E. 3.2</w:t>
      </w:r>
    </w:p>
    <w:p>
      <w:r>
        <w:t>Im vorliegenden Verfahren finden grundsätzlich jene schweizerischen Rechtsvorschriften Anwendung, die bei Erlass der angefochtenen Verfügung vom 16. Mai 2008 in Kraft standen; weiter aber auch solche Vorschriften, die zu jenem Zeitpunkt bereits ausser Kraft getreten waren, die aber für die Beurteilung eines allenfalls früher entstandenen Rentenanspruchs von Belang sind (für das IVG: ab dem 1. Januar 2003 in der Fassung vom 6. Oktober 2000 [AS 2002 3371 und 3453], ab dem 1. Januar 2004 in der Fassung vom 21. März 2003 [AS 2003 3837; 4. IVG-Revision] und ab dem 1. Januar 2008 in der Fassung vom 6. Oktober 2006 [AS 2007 5129; 5. IV-Revision]; die Verordnungen in den entsprechenden Fassungen). Am 1. Januar 2003 sind das ATSG sowie die entsprechende Verordnung vom 11. September 2002 (ATSV, SR 830.11) in Kraft getreten, welche für die Beurteilung des vorliegend geltend gemachten Leistungsanspruchs ab diesem Zeitpunkt anwendbar sind.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(vgl. BGE 130 V 343 E. 3.1, 3.2 und 3.3), wird im Folgenden auf die dortigen Begriffsbestimmungen verwiesen.</w:t>
      </w:r>
    </w:p>
    <w:p>
      <w:r>
        <w:rPr>
          <w:b/>
        </w:rPr>
        <w:t>E. 3.3</w:t>
      </w:r>
    </w:p>
    <w:p>
      <w:r>
        <w:t>Rechts- und Sachverhaltsänderungen, die nach dem massgebenden Zeitpunkt des Erlasses des streitigen Entscheides (16. Mai 2008) eintraten, sind im vorliegenden Verfahren grundsätzlich nicht zu berücksichtigen (vgl. BGE 130 V 329, BGE 129 V 1 E. 1.2 mit Hinweisen). Allerdings können Tatsachen, die den Sachverhalt seither verändert haben, unter Umständen Gegenstand einer neuen Verwaltungsverfügung sein (vgl. BGE 121 V 366 E. 1b mit Hinweisen).</w:t>
      </w:r>
    </w:p>
    <w:p>
      <w:r>
        <w:rPr>
          <w:b/>
        </w:rPr>
        <w:t>E. 4</w:t>
      </w:r>
    </w:p>
    <w:p>
      <w:r>
        <w:t>Anspruch auf eine Rente der schweizerischen Invalidenversicherung hat, wer invalid im Sinne des Gesetzes ist (Art. 8 ATSG) und beim Eintritt der Invalidität während der vom Gesetz geforderten Dauer Beiträge an die Alters-, Hinterlassenen- und Invalidenversicherung (AHV/ IV) geleistet hat (Art. 36 Abs. 1 IVG). Diese Bedingungen müssen kumulativ gegeben sein; fehlt eine, so entsteht kein Rentenanspruch, selbst wenn die andere erfüllt ist. Der Versicherte leistete unbestrittenermassen während mehr als drei Jahren Beiträge an die AHV/IV, so dass die gesetzliche Mindestbeitragsdauer sowohl nach den bis zum 31. Dezember 2007 gültig gewesenen als auch nach den seither geltenden Bestimmungen erfüllt ist (Art. 36 Abs. 1 IVG).</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eine andere zumutbare Tätigkeit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Nach dem am 1. Januar 2004 in Kraft getretenen Art. 28 Abs. 1 IVG hatte eine versicherte Person Anspruch auf eine Viertelsrente bei einem Invaliditätsgrad von 40%, auf eine halbe Rente bei einem solchen von 50%, auf eine Dreiviertelsrente bei einem Grad der Invalidität von 60% und auf eine ganze Rente bei einem solchen von 70%. Hieran hat die 5. IV-Revision nichts geändert (Art. 28 Abs. 2 IVG in der ab 1. Januar 2008 geltenden Fassung). Laut Art. 28 Abs. 1ter IVG (in der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des Eidgenössischen Versicherungsgerichts (EVG; ab 1. Januar 2007: Bundesgericht) stellt diese Regelung nicht eine blosse Auszahlungsvorschrift, sondern eine besondere Anspruchsvoraussetzung dar (BGE 121 V 275 E. 6c). Eine Ausnahme von diesem Prinzip gilt seit dem 1. Juni 2002 für Schweizer Bürger und Staatsangehörige der Europäischen Gemeinschaft, denen auch bei einem Invaliditätsgrad ab 40% eine Rente ausgerichtet wird, wenn sie - wie dies beim Versicherten der Fall war - in einem Mitgliedstaat der Europäischen Gemeinschaft Wohnsitz haben.</w:t>
      </w:r>
    </w:p>
    <w:p>
      <w:r>
        <w:rPr>
          <w:b/>
        </w:rPr>
        <w:t>E. 4.3</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auch nach Ablauf dieses Jahres zu mindestens 40% invalid (Art. 8 ATSG) sind (lit. b und c). Der Versicherte war seit dem Unfall vom 13. Juni 2006 arbeitsunfähig, so dass ein allfälliger Rentenanspruch frühestens nach Ablauf eines Jahres, also ab Juli 2007 hätte entstehen können (Art. 29 Abs. 1 Bst. b IVG in der bis Ende 2007 gültig gewesenen Fassung).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(vgl. BGE 113 V 28 E. 4a, BGE 111 V 239 E. 2a). Deshalb ist es am behandelnden Arzt bzw. am Vertrauensarzt der IVSTA,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vgl. ZAK 1986 S. 204 f.), wobei es unerheblich ist, ob er seine Restarbeitsfähigkeit tatsächlich verwertet oder nicht.</w:t>
      </w:r>
    </w:p>
    <w:p>
      <w:r>
        <w:rPr>
          <w:b/>
        </w:rPr>
        <w:t>E. 5</w:t>
      </w:r>
    </w:p>
    <w:p>
      <w:r>
        <w:t>Im vorliegenden Beschwerdeverfahren wird geltend gemacht, der (zwischenzeitlich verstorbene) Versicherte hätte aufgrund seiner gesundheitlichen Beeinträchtigungen mindestens Anspruch auf eine Viertelsrente der Invalidenversicherung gehabt.</w:t>
      </w:r>
    </w:p>
    <w:p>
      <w:r>
        <w:rPr>
          <w:b/>
        </w:rPr>
        <w:t>E. 5.1</w:t>
      </w:r>
    </w:p>
    <w:p>
      <w:r>
        <w:t>Für die Beurteilung des Gesundheitszustandes und damit der Arbeitsfähigkeit des Versicherten hat sich die Vorinstanz insbesondere auf die Ausführungen im interdisziplinären Gutachten vom 14. November 2006 der Rehaklinik Y._______ abgestützt, das im Auftrag der Suva St. Gallen erstellt worden ist und die Ergebnisse einer psychiatrischen sowie einer orthopädischen Abklärung beinhaltet.</w:t>
      </w:r>
    </w:p>
    <w:p>
      <w:r>
        <w:rPr>
          <w:b/>
        </w:rPr>
        <w:t>E. 5.1.1</w:t>
      </w:r>
    </w:p>
    <w:p>
      <w:r>
        <w:t>Anlässlich der psychiatrischen Abklärung vom 27. September 2006 wurde ein depressives Syndrom diagnostiziert. Der Psychiater kam zum Schluss, dass der Versicherte unter einer nicht unerheblichen psychischen Störung im Sinne einer sog. Major Depression leide und zweifellos schon vor dem Unfall depressiv gewesen sei, dass sich die Depression aber durch die Arbeitsunfähigkeit seit dem Unfall verstärkt habe, was sich daran zeige, dass aufgrund der Interaktion der Depression mit unterschiedlichen, auch abnützungsbedingten Schmerzen an verschiedenen Stellen des Körpers eine deutliche Schmerzverstärkung eingesetzt habe. Obschon der Gutachter das Bestehen einer eigentlichen somatoformen Schmerzstörung verneinte, kam er zum Schluss, dass das depressive Syndrom für sich allein eine mässige Minderung der psychiatrischen Zumutbarkeit (im Bereich von 20% bis 30%) zur Folge habe, jedoch zusätzlich in Rechnung zu stellen sei, dass die Schmerzen durch die Depression erheblich verstärkt würden, was im Rahmen einer interdisziplinären Gesamtbetrachtung ebenfalls berücksichtigt werden müsse.</w:t>
      </w:r>
    </w:p>
    <w:p>
      <w:r>
        <w:rPr>
          <w:b/>
        </w:rPr>
        <w:t>E. 5.1.2</w:t>
      </w:r>
    </w:p>
    <w:p>
      <w:r>
        <w:t>Im Rahmen der orthopädischen Abklärung am 28. September 2006 wurde Folgendes diagnostiziert: mässige bis zum Teil ausgeprägte Kniebeschwerden links bei degenerativen Knorpelschäden, mässige Schulterschmerzen rechts nach Schulterkontusion und jetzt mässiger Omarthrose, Status nach lateraler Clavicula-Resektion rechts sowie Partialruptur der Supraspinatussehne der rechten Schulter, leichte bis mässige Schulterschmerzen links unbekannter Ätiologie, leichte Hüftgelenksschmerzen rechts ohne pathologisch-anatomisches Korrelat sowie eine depressive Episode leicht bis max. mittelgradig. Der begutachtende Orthopäde hielt fest, dass die vom Versicherten diffus beschriebenen Schmerzen in den mittelgrossen Gelenken (Schulter beidseitig, Knie links) sowie die leichten Beschwerden im Bereich der Lendenwirbelsäule und der rechten Hüfte grösstenteils durch eine Dekonditionierung sowie die vorhandene Depression zu erklären seien, da - abgesehen von der rechten Schulter, bei der eine leichte bis mässige Omarthrose festzustellen sei - die durchgeführten Tests und die radiologischen Befunde keine von der Altersnorm abweichende Pathologie oder Veränderung zeigten. Rein unfallkausal könne somit nur die Beeinträchtigung der rechten Schulter zur Minderung der Zumutbarkeit herangezogen werden.</w:t>
      </w:r>
    </w:p>
    <w:p>
      <w:r>
        <w:rPr>
          <w:b/>
        </w:rPr>
        <w:t>E. 5.1.3</w:t>
      </w:r>
    </w:p>
    <w:p>
      <w:r>
        <w:t>In ihrer gemeinsamen interdisziplinären Beurteilung vom 14. November 2006 kamen die Gutachter zum Schluss, dass dem Versicherten unter Berücksichtigung der Minderung der Zumutbarkeit aus psychiatrischer Sicht (im Bereich von 20% bis 30%) leichte, die rechte Schulter schonende Tätigkeiten zumutbar seien, wobei regelmässige Überkopfarbeiten rechts zu vermeiden seien und das Steigen auf Gerüste oder Leitern nicht zu empfehlen sei.</w:t>
      </w:r>
    </w:p>
    <w:p>
      <w:r>
        <w:rPr>
          <w:b/>
        </w:rPr>
        <w:t>E. 5.2</w:t>
      </w:r>
    </w:p>
    <w:p>
      <w:r>
        <w:t>In den genannten (fach-)ärztlichen Berichten wird ausführlich dargelegt, inwiefern der Versicherte in seinen körperlichen oder geistigen Funktionen leidensbedingt eingeschränkt war. Es werden sämtliche Untersuchungsergebnisse sowie die Vorakten berücksichtigt und die Beurteilung der medizinischen Situation und Zusammenhänge durch die untersuchenden Ärzte ist nach Ansicht des Bundesverwaltungsgerichtes durchaus einleuchtend und nachvollziehbar. Auch werden die Schlussfolgerungen der Experten ausführlich begründet. Im Wissen um die Tatsache, dass sich das Gutachten der Rehaklinik Y._______ insbesondere zur Zumutbarkeit im Zusammenhang mit den Unfällen des Versicherten zu äussern hatte, hat der Regionale ärztliche Dienst Ostschweiz (RAD Ostschweiz) die Aussagen im Gutachten vom 14. November 2006 auch in invalidenversicherungsrechtlicher Hinsicht gewürdigt und daher bei der Frage nach der zumutbaren Restarbeitsfähigkeit nebst der nicht-unfallbedingten Depression auch die nicht-unfallbedingten Kniebeschwerden berücksichtigt - die im Übrigen entgegen den Ausführungen des Versicherten im Gutachten der Rehaklinik Y._______ durchaus diagnostiziert und beurteilt, bei der Bestimmung Invalidität aus unfallversicherungsrechtlicher Sicht aber zu Recht nicht berücksichtigt worden sind. Der RAD Ostschweiz kam unter Berücksichtigung der aktenkundigen, ausreichenden medizinischen Berichte zum nachvollziehbaren Schluss, dass in einer angepassten, leichten Tätigkeit eine Einschränkung der Leistungsfähigkeit von 25% bestehe und das Steigen auf Leitern und Gerüste, das Knien, Kauern und vermehrte Treppensteigen zu vermeiden seien. Unter Verweis auf das ärztliche Attest vom 2. Februar 2007 wurde korrekterweise spezifiziert, dass die zumutbare adaptierte Tätigkeit mehrheitlich sitzend, mit der Möglichkeit zu Positionswechsel ohne langes Stehen und Gehen ausgeübt werden sollte (vgl. Vorakten IV-Stelle SG, act. 42). Diese Gesamteinschätzung ist nachvollziehbar und nicht zu beanstanden.</w:t>
      </w:r>
    </w:p>
    <w:p>
      <w:r>
        <w:rPr>
          <w:b/>
        </w:rPr>
        <w:t>E. 5.3</w:t>
      </w:r>
    </w:p>
    <w:p>
      <w:r>
        <w:t>Zu beachten ist allerdings, dass beim Versicherten im März 2008 ein Plattenepithelcarcinom des Ösphagus (Speiseröhrenkrebs) mit mediastinalen und supraclavikulären Lymphknotenmetastasen sowie hepataler Metastasierung diagnostiziert worden war, das mit einer ambulante palliative Chemotherapie behandelt wurde. Dies wurde der IV-Stelle SG am 5. Mai 2008 von Dr. Z._______ mitgeteilt. Bei Erlass der angefochtenen Verfügung vom 16. Mai 2008 hat die Vorinstanz diese Verschlechterung des Gesundheitszustandes aber nicht berücksichtigt, was dem Grundsatz widerspricht, dass Sachverhaltsänderungen, die bis zum massgebenden Zeitpunkt des Erlasses des streitigen Entscheides (hier: 16. Mai 2008) eintreten, im erstinstanzlichen Entscheid zu berücksichtigen sind (vgl. E. 3.3 hiervor). Angesichts der Schwere der neu aufgetretenen Erkrankung ist keineswegs auszuschliessen, dass diese bereits vor ihrer Diagnose - also vor März 2008 - zu einer rentenrelevanten Einschränkung der Arbeitsfähigkeit geführt haben könnte, und bereits vor Erlass der angefochtenen Verfügung ein Rentenanspruch entstanden sein könnte. Hieran vermag nichts zu ändern, dass es sich bei der Krebserkrankung um eine von den ursprünglichen Beeinträchtigungen wohl verschiedene Gesundheitsstörung handelte, so dass möglicherweise ein neuer Versicherungsfall vorliegen könnte. Da bezüglich dieser Erkrankung keinerlei Abklärungen getroffen wurden, ist nicht bekannt, ob und allenfalls in welchem Umfang und ab wann der zusätzliche Gesundheitsschaden Auswirkungen auf die Arbeits- und Erwerbsfähigkeit des Versicherten gehabt hat. Insbesondere ist nicht auszuschliessen, dass die Erkrankung bereits längere Zeit vor der Diagnose relativ gravierende Auswirkungen hatte, so dass - trotz zu berücksichtigenden Wartezeiten - eine rentenrelevante Beeinträchtigung eingetreten sein könnte. Unter diesen Umständen ist es dem Bundesverwaltungsgericht nicht möglich, den Invaliditätsgrad des Versicherten mit überwiegender Wahrscheinlichkeit zu bestimmen.</w:t>
      </w:r>
    </w:p>
    <w:p>
      <w:r>
        <w:rPr>
          <w:b/>
        </w:rPr>
        <w:t>E. 6</w:t>
      </w:r>
    </w:p>
    <w:p>
      <w:r>
        <w:t>Damit erweist sich der entscheidwesentliche Sachverhalt als ungenügend abgeklärt, was eine Verletzung von Art. 43 Abs. 1 ATSG darstellt. Die angefochtene Verfügung ist daher in teilweiser Gutheissung der Beschwerde aufzuheben und die Sache mit der Weisung an die Vorinstanz zurückzuweisen, die Auswirkungen der am 5. Mai 2008 gemeldeten schwerwiegenden Krebserkrankung des Versicherten auf dessen Arbeits- und Erwerbsfähigkeit retrospektiv durch einen geeigneten Arzt (unter Beizug der Krankengeschichte) abklären zu lassen und anschliessend neu zu verfügen (Art. 61 Abs. 2 VwVG). Ergänzend sei festgehalten, dass nach Ansicht des Bundesverwaltungsgerichts der von der Vorinstanz im Rahmen der Invaliditätsberechnung gewährte leidensbedingte Abzug vom Invalideneinkommen von bloss 10% als überaus tief erscheint. Es ist zu beachten, dass der Versicherte im Jahre 2007 immerhin bereits mehr als 60jährig war, allein schon aus psychiatrischer Sicht in seiner Leistungsfähigkeit um 20% bis 30% eingeschränkt war, selbst in einer geeigneten Verweisungstätigkeit auf vermehrte Pausen angewiesen war und diese Tätigkeit nur unter Schonung seiner Schulter, mehrheitlich sitzend, mit der Möglichkeit zu Positionswechsel und ohne langes Stehen und Gehen hätte ausüben können - was ohne Zweifel seine Möglichkeit, ein durchschnittliches Erwerbseinkommen zu erzielen, wesentlich beeinträchtigt hätte.</w:t>
      </w:r>
    </w:p>
    <w:p>
      <w:r>
        <w:rPr>
          <w:b/>
        </w:rPr>
        <w:t>E. 7</w:t>
      </w:r>
    </w:p>
    <w:p>
      <w:r>
        <w:t>Zu befinden bleibt noch über die Verfahrenskosten und eine allfällige Parteientschädigung.</w:t>
      </w:r>
    </w:p>
    <w:p>
      <w:r>
        <w:rPr>
          <w:b/>
        </w:rPr>
        <w:t>E. 7.1</w:t>
      </w:r>
    </w:p>
    <w:p>
      <w:r>
        <w:t>Angesichts des Obsiegens der Beschwerdeführer sind keine Verfahrenskosten zu erheben (Art. 63 Abs. 1 sowie 2 VwVG). Der geleistete Verfahrenskostenvorschuss von Fr. 400.- wird nach Eintritt der Rechtskraft des vorliegenden Urteils zurückerstattet.</w:t>
      </w:r>
    </w:p>
    <w:p>
      <w:r>
        <w:rPr>
          <w:b/>
        </w:rPr>
        <w:t>E. 7.2</w:t>
      </w:r>
    </w:p>
    <w:p>
      <w:r>
        <w:t>Den obsiegenden Beschwerdeführern ist eine von der Vorinstanz zu entrichtende Parteientschädigung zuzusprechen (Art. 64 Abs. 1 i.V.m. Art. 7 Abs. 1 des Reglements vom 21. Februar 2008 über die Kosten und Entschädigungen vor dem Bundesverwaltungsgericht [VGKE, SR 173.320.2]), welche mangels Kostennote aufgrund der Akten zu bestimmen ist (Art. 14 Abs. 2 VGKE). Das zu entschädigende Honorar bestimmt sich nach dem notwendigen Zeitaufwand der nichtanwaltlichen Vertretung (Art. 10 Abs. 1 und 2 VGKE). Unter Berücksichtigung des gebotenen und aktenkundigen Aufwands erachtet das Bundesverwaltungsgericht eine Parteientschädigung von Fr. 1'200.- (inklusive Auslagen und - soweit geschuldet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