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C-3967/2008 vom 4. November 2009</w:t>
      </w:r>
    </w:p>
    <w:p>
      <w:r>
        <w:t>Bundesverwaltungsgericht, 2009-11-04, IT</w:t>
      </w:r>
    </w:p>
    <w:p>
      <w:r>
        <w:rPr>
          <w:b/>
        </w:rPr>
        <w:t xml:space="preserve">Quelle: </w:t>
      </w:r>
      <w:r>
        <w:t>https://mcp.opencaselaw.ch/entscheid/bvger_C-3967_2008</w:t>
      </w:r>
    </w:p>
    <w:p>
      <w:r>
        <w:t>FR: TAF C-3967/2008 du 4 novembre 2009</w:t>
      </w:r>
    </w:p>
    <w:p>
      <w:r>
        <w:t>IT: TAF C-3967/2008 del 4 novembre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nella misura di Fr. 295.-,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presentato la seconda domanda di rendita il 2 febbraio 2006.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 febbraio 2005 (ossia 12 mesi precedenti la presentazione della domanda), oppure se un diritto alla rendita sia sorto tra tale data ed il 13 maggio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o ad un'assicurazione sociale assimilata (FF 2005 p. 4065; art. 45 del regolamento 1408/71) di uno Stato membro dell'Unione europea (UE) o dell'Associazione europea di libero scambio (AELS), durante almeno un anno, rispettivamente, a partire dal 1° gennaio 2008, durante almeno tre anni (art. 36 LAI). Nella specie, il ricorrente ha versato contributi all'AVS/AI svizzera per un periodo superiore ai tre anni (doc. 48).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Dopo il rimpatrio, l'interessato ha lavorato fino al 1997 in qualità di inserviente/addetto a vari lavori in una casa per anziani (doc. 50, cifra 7 b; doc. 8).</w:t>
      </w:r>
    </w:p>
    <w:p>
      <w:r>
        <w:rPr>
          <w:b/>
        </w:rPr>
        <w:t>E. 8.2</w:t>
      </w:r>
    </w:p>
    <w:p>
      <w:r>
        <w:t>La nozione d'invalidità di cui all'art. 4 LAI e 8 LPGA è di carattere giuridico economico, non medico (DTF 116 V 249 consid. 1b; 110 V 275).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VSI 2000 p. 84).</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è stata evidenziata la diagnosi di insufficienza vertebrobasilare, artrosi polidistrettuale a discreto impegno funzionale, ipertensione arteriosa in trattamento, epatopatia cronica HCV correlata, disturbo distimico cronico in trattamento psicofarmacologico, note cliniche di bronchite cronica (cfr. perizia medica particolareggiata del 30 maggio 2006, doc. 52). Nella perizia del Dott. Del Coco del 15 ottobre 2004 si annota anche una sofferenza radicolare in territorio L5-S1, un'evidente gonartrosi deformante a sinistra con grave deficit funzionale, insufficienza circolatoria cronica arti inferiori con varici complicate (doc. 51). Il Dott. Scarcella, autore del certificato esibito in sede di audizione, accenna ad una non meglio investigata stenosi ICA sinistra ed ad una neuropatia del IV nervo cranico a sinistra (doc. 60).</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il medico dell'INPS (perizia particolareggiata del 30 maggio 2006, doc. 52) pone un tasso d'invalidità del 80%, mentre il sanitario dell'UAIE, Dott. Battaglia, afferma che l'interessato non potrebbe più svolgere il precedente lavoro di ausiliario in una casa per anziani, ma a lui sarebbero proponibili attività leggere e/o sedentarie in misura completa.</w:t>
      </w:r>
    </w:p>
    <w:p>
      <w:r>
        <w:rPr>
          <w:b/>
        </w:rPr>
        <w:t>E. 10.2</w:t>
      </w:r>
    </w:p>
    <w:p>
      <w:r>
        <w:t>Nel caso in esame non è possibile dirimere questa divergenza di valutazione tra il servizio medico dell'INPS e quello dell'UAIE. Lo scrivente Tribunale constata infatti che la documentazione oggettiva ad atti presenta molte lacune. Viene segnalata, come prima diagnosi, un'insufficienza vertebro-basilare ma non è prodotto alcun esame ortopedico completo (anamnesi, esame oggettivo, diagnosi, valutazione, prognosi). Neanche l'apposita rubrica della perizia medica particolareggiata è stata compilata (punto 4.8 del doc. 52), ossia non esiste nessuna descrizione dell'apparato locomotorio/articolare. Altre turbe di carattere ortopedico sono accennate in diagnosi (artrosi polidistrettuale), senza tuttavia menzionare le loro conseguenze debilitanti. Si segnala una patologia importante come l'epatite cronica HCV, ma in assenza di esami ematochimici, test epatici o risultati di una sonografia addominale. Si accenna ad un disturbo distimico, turba che può assumere a seconda dei casi un carattere invalidante, ma non si trova nessuna relazione d'esame psichiatrico. Va inoltre ricordata la perizia del Dott. Del Coco, che risale tuttavia al 15 ottobre 2004, ossia 2 anni prima della presentazione della domanda di rendita. Questa indagine fa stato di un tasso d'invalidità generico del 75%, che non può essere confermato da questo tribunale senza un ulteriore approfondimento. Un'altra incongruenza del caso in esame è la circostanza che la perizia medica particolareggiata (E 213, doc. 52) è palesemente contradditoria. Pur ponendo un tasso d'invalidità dell'80%, vi si afferma che l'assicurato può svolgere lavori pesanti e che, rispetto alla precedente visita praticata in data non definita, le condizioni sarebbero migliorate. L'E 213 attesta poi, in contraddizione con quanto prima affermato, che l'interessato potrebbe svolgere solo al 20% il suo ultimo lavoro (punto 11.4) e che non è in grado di svolgere un lavoro adeguato alle sue condizioni (punto 11.5). Deve essere inoltre rilevato che l'amministrazione ha preso atto che la documentazione ad atti non era più attuale e lo ha segnalato al proprio servizio medico (cfr. nota del 15 gennaio 2008, doc. 53), il quale ha comunque espresso il suo parere in merito.</w:t>
      </w:r>
    </w:p>
    <w:p>
      <w:r>
        <w:rPr>
          <w:b/>
        </w:rPr>
        <w:t>E. 10.3</w:t>
      </w:r>
    </w:p>
    <w:p>
      <w:r>
        <w:t>Visto quanto precede, si deve ritenere che la decisione impugnata non poggia su di un'adeguata istruttoria. Ora, fatte queste considerazioni, il collegio giudicante si trova nell'impossibilità di determinare la misura dell'eventuale incapacità di lavoro e di guadagno subita dall'interessato e da quando questa invalidità esisterebbe.</w:t>
      </w:r>
    </w:p>
    <w:p>
      <w:r>
        <w:rPr>
          <w:b/>
        </w:rPr>
        <w:t>E. 11.1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per il periodo dal febbraio 2005 (inizio del periodo di cognizione giudiziaria) fino alla data dell'impugnata decisione (13 maggio 2008) e da questa data in poi. L'UAIE emanerà poi un nuovo provvedimento impugnabile. A tale fine il ricorrente dovrà essere sottoposto ad un esame approfondito in ortopedia/neurologia, psichiatria ed internistica nonché a tutti quegli esami specialistici che il caso richiede. L'amministrazione farà esibire dall'interessato o dall'organismo sanitario di collegamento (INPS) tutti gli esami oggettivi esistenti e farà eventualmente eseguire nuovi accertamenti clinico-strumentali. L'incarto sarà poi inviato in esame al servizio medico dell'UAIE, il quale si pronuncerà in merito all'evoluzione dell'incapacità al lavoro fra il 2005 e 13 maggio 2008, data della decisione impugnata e da questa data in poi, nonché in merito all'attività professionale che il ricorrente avrebbe potuto espletare nel periodo suddetto. Se del caso, l'Autorità amministrativa effettuerà poi un'adeguata e circostanziata indagine comparativa dei redditi.</w:t>
      </w:r>
    </w:p>
    <w:p>
      <w:r>
        <w:rPr>
          <w:b/>
        </w:rPr>
        <w:t>E. 12.1</w:t>
      </w:r>
    </w:p>
    <w:p>
      <w:r>
        <w:t>Visto l'esito del ricorso, non vengono prelevate spese processuali. L'anticipo delle presunte spese processuali di Fr. 295.-, versato dall'insorgente il 25 febbraio 2009, gli viene restituito.</w:t>
      </w:r>
    </w:p>
    <w:p>
      <w:r>
        <w:rPr>
          <w:b/>
        </w:rPr>
        <w:t>E. 12.2</w:t>
      </w:r>
    </w:p>
    <w:p>
      <w:r>
        <w:t>In base all'art. 64 PA, l'autorità di ricorso, se ammette il ricorso in tutto o in parte, può assegnare al ricorrente un'indennità per le spese indispensabili e relativamente elevate che ha sopportato. Nel caso in esame, vista la memoria di ricorso, nonché la documentazione esibita, si giustifica riconoscere alla parte ricorrente un'indennità per spese ripetibili di Fr. 700.-,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