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C-3964/2019 vom 13. Dezember 2021</w:t>
      </w:r>
    </w:p>
    <w:p>
      <w:r>
        <w:t>Bundesverwaltungsgericht, 2021-12-13, FR</w:t>
      </w:r>
    </w:p>
    <w:p>
      <w:r>
        <w:rPr>
          <w:b/>
        </w:rPr>
        <w:t xml:space="preserve">Quelle: </w:t>
      </w:r>
      <w:r>
        <w:t>https://mcp.opencaselaw.ch/entscheid/bvger_C-3964_2019</w:t>
      </w:r>
    </w:p>
    <w:p>
      <w:r>
        <w:t>FR: TAF C-3964/2019 du 13 décembre 2021</w:t>
      </w:r>
    </w:p>
    <w:p>
      <w:r>
        <w:t>IT: TAF C-3964/2019 del 13 dicembre 2021</w:t>
      </w:r>
    </w:p>
    <w:p>
      <w:pPr>
        <w:pStyle w:val="Heading2"/>
      </w:pPr>
      <w:r>
        <w:t>Regeste</w:t>
      </w:r>
    </w:p>
    <w:p>
      <w:r>
        <w:t>Droit à la rente</w:t>
      </w:r>
    </w:p>
    <w:p>
      <w:pPr>
        <w:pStyle w:val="Heading2"/>
      </w:pPr>
      <w:r>
        <w:t>Erwägungen</w:t>
      </w:r>
    </w:p>
    <w:p>
      <w:r>
        <w:rPr>
          <w:b/>
        </w:rPr>
        <w:t>E. 1.1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la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recevable.</w:t>
      </w:r>
    </w:p>
    <w:p>
      <w:r>
        <w:rPr>
          <w:b/>
        </w:rPr>
        <w:t>E. 1.2</w:t>
      </w:r>
    </w:p>
    <w:p>
      <w:r>
        <w:t>La procédure devant le Tribunal administratif fédéral est en principe régie par la PA (art. 37 LTAF), sous réserve des dispositions particulières de la LPGA (art. 3 let. dbis PA). Selon les principes généraux du droit intertemporel, les règles de procédure précitées s'appliquent dans leur version en vigueur ce jour (ATF 130 V 1 consid. 3.2).</w:t>
      </w:r>
    </w:p>
    <w:p>
      <w:r>
        <w:rPr>
          <w:b/>
        </w:rPr>
        <w:t>E. 2</w:t>
      </w:r>
    </w:p>
    <w:p>
      <w:r>
        <w:t>Le litige porte en l'espèce sur le droit du recourant à une rente de l'AI.</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 notamment : arrêts du Tribunal administratif fédéral C-3841/2015 du 8 janvier 2019 consid. 3.2 et 5, A-5658/2013 du 18 août 2014 consid. 2.2 ; voir aussi Jérôme Candrian, Introduction à la procédure administrative fédérale, 2013, n° 98).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(al. 2). Etant donné que le recourant a travaillé en dernier lieu en Suisse en tant qu'indépendant, qu'il était encore domicilié en France voisine lors du dépôt de la demande (voir OAIE docs 4, 5, 8) et que l'atteinte à sa santé remonte à l'époque de son activité d'indépendant, c'est à juste titre que l'OAIE a notifié la décision attaquée. C'est en revanche à tort qu'il a enregistré et instruit la demande de rente du 8 juillet 2018, reçue le 22 octobre 2018, dans la mesure où le recourant est alors un ancien frontalier (pour la notion de frontalier indépendant, voir art. 13 par. 1 de l'annexe I de l'accord du 21 juin 1999 sur la libre circulation des personnes [ALCP, RS 0.142.112.681]) et que la règle de l'al. 2 de l'art. 40 RAI lui est donc applicable. Rien ne laisse en effet supposer au dossier que le recourant aurait habité en Suisse au moment de son activité indépendante (voir par exemple OAIE doc 40 p. 18). Cette compétence revenait in casu à l'Office de l'assurance-invalidité du canton E._______ (voir OAIE doc 40 p. 18-22). Il s'ensuit que l'instruction a été menée par une autorité incompétente et que la décision litigieuse qui en résulte est viciée.</w:t>
      </w:r>
    </w:p>
    <w:p>
      <w:r>
        <w:rPr>
          <w:b/>
        </w:rPr>
        <w:t>E. 4.1</w:t>
      </w:r>
    </w:p>
    <w:p>
      <w:r>
        <w:t>La nullité d'une décision doit être examinée d'office et peut l'être en tout temps et devant toute autorité (ATF 133 II 366 consid. 3.1 ; Pierre Moor/Etienne Poltier, op. cit., ch. 2.3.3.2). 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137 I 273 consid. 3.1, 132 II 21 consid. 3.1, 129 V 485 consid. 2.3, 122 I 97 consid. 3a)aa, 116 Ia 215 consid. 2c). S'agissant en particulier des décisions rendues en matière d'assurance-invalidité, le Tribunal fédéral a retenu qu'une décision d'un office AI incompétent (territorialement) n'est en règle générale, pas nulle mais annulable (arrêts du Tribunal fédéral 9C_891/2010 du 31 décembre 2010 consid. 2.2 et les références, I 232/03 du 22 janvier 2004 consid. 4.1). Toutefois, le Tribunal fédéral a également précisé que dans certains cas, l'autorité de recours peut, pour des motifs d'économie de procédure, renoncer à l'annulation de la décision de l'office AI (territorialement) incompétent et à la transmission de la cause à l'office AI (territorialement) compétent, et entrer en matière sur le fond du litige (arrêts du Tribunal fédéral 8C_781/2010 du 15 mars 2011 consid. 2.4, H 289/03 du 17 février 2006 consid. 2.2 publié in SVR 2006 AHV Nr. 15 p. 56, I 330/02 du 19 décembre 2003 consid. 6.3). Tel est notamment le cas lorsque l'incompétence de l'office AI n'a pas été soulevée et que la cause peut être jugée au fond sur la base des pièces au dossier (arrêts du Tribunal fédéral I 8/02 du 16 juillet 2002 consid. 2.4, I 232/03 du 22 janvier 2004 consid. 4.2.1 et les références).</w:t>
      </w:r>
    </w:p>
    <w:p>
      <w:r>
        <w:rPr>
          <w:b/>
        </w:rPr>
        <w:t>E. 4.2</w:t>
      </w:r>
    </w:p>
    <w:p>
      <w:r>
        <w:t>La décision entreprise a été notifiée par l'OAIE sur la base d'une instruction qu'il a lui-même menée alors qu'il était incompétent in casu.</w:t>
      </w:r>
    </w:p>
    <w:p>
      <w:r>
        <w:rPr>
          <w:b/>
        </w:rPr>
        <w:t>E. 4.3</w:t>
      </w:r>
    </w:p>
    <w:p>
      <w:r>
        <w:t>L'incompétence de l'OAIE n'a pas été soulevée par le recourant tant dans son acte de recours que dans sa réplique. La question de l'annulation ou de la nullité de la décision attaquée peut toutefois rester ouverte, dans la mesure où, comme il sera vu ci-après (voir infra consid. 10), la décision doit de toute façon être annulée et la cause renvoyée à l'autorité inférieure pour complément d'instruction.</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w:t>
      </w:r>
    </w:p>
    <w:p>
      <w:r>
        <w:rPr>
          <w:b/>
        </w:rPr>
        <w:t>E. 5.1.1</w:t>
      </w:r>
    </w:p>
    <w:p>
      <w:r>
        <w:t>L'affaire présente un aspect transfrontalier, dans la mesure où le recourant est un ressortissant français, domicilié en France,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5.1.2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5.2</w:t>
      </w:r>
    </w:p>
    <w:p>
      <w:r>
        <w:t>Le juge des assurances sociales apprécie la légalité des décisions attaquées, en règle générale, d'après l'état de fait existant jusqu'au moment où la décision litigieuse a été rendue (en l'espèce, le 5 juillet 2019).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6</w:t>
      </w:r>
    </w:p>
    <w:p>
      <w:r>
        <w:t>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rPr>
          <w:b/>
        </w:rPr>
        <w:t>E. 7.1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7.3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7.4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Concrètement, le Tribunal peut ainsi se limiter à examiner si le recourant remplissait les conditions d'octroi d'une rente depuis le 1er avril 2019 (six mois après le dépôt de la demande) jusqu'au 5 juillet 2019, date de la décision entreprise marquant la limite dans le temps du pouvoir d'examen de l'autorité de recours (ATF 129 V 1 consid. 2.1 et les références).</w:t>
      </w:r>
    </w:p>
    <w:p>
      <w:r>
        <w:rPr>
          <w:b/>
        </w:rPr>
        <w:t>E. 8.1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8.1.1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 être jugés pertinents, compréhensibles et cohérents pour avoir valeur de preuve ; en outre, il ne doit pas exister d'indice suffisant plaidant contre leur fiabilité (ATF 135 V 465 consid. 4.4, 125 V 351 consid. 3b/ee).</w:t>
      </w:r>
    </w:p>
    <w:p>
      <w:r>
        <w:rPr>
          <w:b/>
        </w:rPr>
        <w:t>E. 8.2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3e éd. 2015, art. 42 LPGA n° 30 ; ATF 122 II 464 consid. 4a). Une telle manière de procéder ne viole pas le droit d'être entendu selon l'art. 29 al. 2 de la Constitution fédérale de la Confédération suisse du 18 avril 1999 (Cst., RS 101) (Sozialversicherungsrecht [SVR] 2001 IV n° 10 p. 28).</w:t>
      </w:r>
    </w:p>
    <w:p>
      <w:r>
        <w:rPr>
          <w:b/>
        </w:rPr>
        <w:t>E. 9</w:t>
      </w:r>
    </w:p>
    <w:p>
      <w:r>
        <w:t>Dans le cadre de l'instruction de la demande de prestations de l'AI du recourant, les pièces suivantes ont notamment été versées au dossier : - une fiche programmation bloc opératoire non datée du Dr F._______, praticien hospitalier, diagnostiquant chez le recourant une fracture du calcanéum du pied droit et signalant une hospitalisation le 28 août 2015 et une intervention le lendemain (OAIE doc 20) ; - un bon de sortie du 30 août 2015 après un acte opératoire (OAIE doc 42 p. 2) ; - deux ordonnances du même jour du Dr F._______ prescrivant deux médicaments au recourant, respectivement faisant faire un pansement par un(e) infirmier(e) (OAIE doc 42 p. 3, 4) ; - un compte-rendu d'hospitalisation du 31 août 2015 du même médecin, précisant que le recourant a été hospitalisé du 28 au 30 août 2015 pour avoir présenté une fracture du calcanéum droit, qu'il a subi une intervention sous forme de réduction et ostéosynthèse par un clou et des broches percutanées effectuées en urgence le 29 août 2015, que l'évolution est favorable après l'intervention et qu'il sort avec un traitement (OAIE docs 21, 43) ; - deux ordonnances du 9 septembre 2015 du même médecin pour faire pratiquer un pansement par un(e) infirmier(e), respectivement prescrivant un médicament au recourant (OAIE doc 44) ; - une convocation pour le 7 octobre 2015 avec le même médecin en faveur d'un rayon x profil et axial du calcanéum droit (OAIE doc 46) ; - une ordonnance du 18 novembre 2015 du même médecin pour faire pratiquer un pansement par un(e) infirmier(e) (OAIE doc 47) ; - un rapport du 20 juillet 2016 du Dr G._______, radiologue remplaçant, faisant état notamment d'un remaniement du calcanéum en rapport avec des séquelles traumatiques et d'une déminéralisation osseuse des os de la cheville pouvant s'inscrire dans le cadre d'une algodystrophie post-traumatique ; deux radiographies sont annexées (OAIE doc 22) ; - des conclusions motivées d'expertise du Dr H._______, médecin général, datées du 20 octobre 2016 répondant que l'état de santé du recourant ne lui permet pas de reprendre une activité professionnelle quelconque à cette date et que la reprise d'une activité professionnelle n'est pas possible à la date de l'expertise (OAIE doc 23) ; - un compte-rendu du 28 février 2017 de la Dresse I._______ , radiologue, relatif à une scintigraphie osseuse dynamique et corps entier avec tomoscintigraphie couplée à un scanner de repérage anatomique et plusieurs clichés ; la médecin conclut à une algodystrophie froide modérée associée à une déminéralisation osseuse diffuse du pied, de la cheville et du tibia droits, à une arthrose active astragalo-calcanéenne et calcanéo-cuboïde droite, et à la persistance d'un point d'activité osseuse sur la fracture du calcanéum en faveur d'une consolidation toujours en cours (portion externe du trait de fracture sur la partie moyenne du calcanéum) (OAIE doc 24) ; - une fiche de transmission concernant une prise de sang du 10 mars 2017, ainsi qu'un dossier validé biologiquement par M. J._______, employé au sein d'un laboratoire d'analyse de biologie médicale, attestant que le recourant a notamment un HDL-Cholestérol très légèrement au-dessous de l'intervalle de référence (OAIE doc 25) ; - une IRM de la cheville droite du 13 mars 2017 établie par le Dr G._______ et signée par le Dr K._______, médecin radiologue, concluant à la présence de séquelles de lésions ligamentaires collatérales latérales avec une importante hyperplasie synoviale nodulaire à l'insertion malléolaire latérale du ligament tibio fibulaire antérieur, ainsi qu'à des remaniements osseux importants du calcanéum compte tenu des antécédents et à un hypersignal des bords postéro-inférieurs du talus atteignant le bord latéral. Plusieurs clichés sont joints (OAIE doc 26) ; - un rapport d'expertise du 2 juin 2017 du Dr H._______, relevant que cliniquement, la mobilité de la cheville droite est très limitée et algique avec des signes patents d'algodystrophie confirmé par la scintigraphie osseuse et concluant que l'état de santé du recourant ne lui permettait pas de reprendre une activité professionnelle quelconque à la date du 5 mai 2017, ni à la date de l'expertise (OAIE doc 27) ; - une ordonnance pour une paire de semelles du 20 juillet 2017 établie par le Dr L._______, praticien hospitalier en orthopédie et traumatologie, préconisant aussi de faire pratiquer par un podologue sur une plateforme numérique, un examen dynamique : pieds et marche (OAIE doc 28) ; - une facture du 2 août 2017 pour une paire d'orthèse plantaire sur mesure, établie par M. M._______, pédicure podologue conventionné (OAIE doc 29) ; - un compte-rendu de consultation externe du 29 août 2017 du Dr L._______, décrivant le contexte médical et précisant qu'il ne persiste, deux ans après l'accident, qu'une bascule très modérée de la surface thalamique qui semble encore monobloc, le recourant présentant, comme souvent hélas, un conflit externe par élargissement de la grosse tubérosité du calcanéum. Avant de proposer un traitement chirurgical sous endoscopie par résection latérale ou une arthrodèse sous-talienne, le médecin a envoyé le recourant chez un podologue pour faire fabriquer la paire de semelles susmentionnée. Le médecin observe que le résultat est néanmoins relativement satisfaisant compte tenu du type de fracture, mais qu'en cas d'évolution arthrosique au fil du temps ou de conflit externe persistant avec les semelles, le traitement chirurgical précité pourra être proposé (OAIE doc 30) ; - des bons de circulation en lien avec des consultations externes des 5 décembre 2017, 30 janvier, 7 et 26 juin 2018 en raison d'une chirurgie orthopédique cx acy, émis par un centre hospitalier (OAIE doc 31) ; - une ordonnance du 7 juin 2018 du Dr L._______ pour faire réaliser un scanner de contrôle du calcaénaum (OAIE doc 32) ; - un compte-rendu de consultation externe du même jour et du même médecin, constatant qu'à cette date il existe toujours un conflit externe dû à l'élargissement de la grosse tubérosité du calcanéum, que la scintigraphie montre une hyperfixation importante au niveau de la sous-talienne et les coupes scannographiques liées à la scintigraphie confirment une destruction articulaire relativement importante. Le médecin indique avoir fait pratiquer au recourant un scanner de contrôle dans le but de lui proposer une arthrodèse sous-talienne par voie endo-arthroscopique, le recourant étant assez désireux de régler ce problème assez rapidement pour avoir ladite arthrodèse avec libération du conflit externe. Le médecin termine en spécifiant que dans le cas de planification d'une intervention chirurgicale, celle-ci serait réalisée courant septembre 2018 (OAIE doc 33) ; - un rapport du 21 juin 2018 relatif à un scanner de la cheville et du pied droit du Dr N._______, radiologue, arrivant aux résultats suivants : la morphologie du calcanéum est sensiblement conservée, dont la structure comporte d'importants remaniements séquellaires post-traumatiques fait de nombreuses plages de décalcification, le cal osseux sur le trajet fracturaire apparaît très peu densifié, et comportant de nombreuses lacunes, traduisant son caractère fragile, de nombreuses autres lacunes au sein de l'os spongieux des segments osseux lato-tibial et du tarse, de type algodystrophique, sont présentes, une arthrose sous-talienne prononcée et scapho-cuboïde mineure existent, les rapports articulaires de la cheville et du tarse sont conservés. Des clichés sont annexés (OAIE doc 34) ; - un rapport médical détaillé E 213 du 30 juillet 2018 du Dr B._______ relevant comme symptômes actuels des douleurs du pied et de la cheville droite à l'effort, ainsi qu'une limitation des amplitudes articulaires de ces parties du corps. Le médecin précise que le recourant porte des semelles orthopédiques et suit des séances de kinésithérapie à hauteur de deux fois par semaine. Lors de son examen, il relève notamment une marche avec une discrète boiterie à droite, une marche sur la pointe des pieds quasi impossible, un accroupissement fait au ½ avec précaution, un appui mono podal instable à droite, ainsi qu'une éversion et inversion quasi impossible (attente arthrodèse). Il mentionne des affectations relevées par d'autres médecins consultés. Il conclut que le recourant ne peut plus exercer sa dernière activité, mais qu'un travail adapté peut être exercé à temps plein. Il ajoute qu'une amélioration de l'état de santé actuel est possible (OAIE doc 16) ; - des analyses de biologie médicale du 6 septembre 2018, dont le dossier a été validé biologiquement par Mme O._______, employée au sein d'un laboratoire, et faisant état de résultats négatifs pour ce qui concerne le coombs indirect (OAIE doc 35) ; - une observation du 7 septembre 2018 du Dr D._______, chirurgien du pied et de la cheville, chirurgien arthroscopique et chirurgien du sport, proposant au recourant une arthrodèse sous talienne avec greffe iliaque, en lui ayant expliqué les suites et les risques de l'intervention en question, qui aura lieu le 18 septembre suivant (OAIE doc 36) ; - un rapport médical détaillé E 213 du 8 octobre 2018 du Dr B._______, dans lequel ce médecin rapporte des symptômes actuels de douleurs du pied et de la cheville droite à l'effort, ainsi que de limitation des amplitudes articulaires du pied et de la cheville droite. Il décrit des résultats obtenus lors d'examens comme suit : au niveau des membres inférieurs, marche avec discrète boiterie à droit, bon déroulé du pas, marche talon réalisé, marche pointe quasi impossible, accroupissement fait au ½ avec précaution, appui mono podal instable à droite, pied et cheville droits, extension 40° flexion de 5°, éversion et inversion quasi impossibles (attente arthrodèse). Il fait part des résultats d'examens d'autres médecins consultés. Il conclut que le recourant ne peut plus exercer à plein temps son activité habituelle et qu'un reclassement n'est pas possible, le recourant ne parlant pas correctement le français. Il ajoute qu'un travail adapté peut être exercé à plein temps. Enfin, une amélioration de l'état de santé du recourant est possible, selon le médecin, par de la chirurgie (OAIE doc 7) ; - un certificat médical du 7 novembre 2018 du Dr P._______, médecin dont la spécialisation n'est pas mentionnée, retenant comme pathologies principales à l'origine du handicap des séquelles douloureuses et fonctionnelles de la cheville et du talon droits suite à une algodystrophie consécutive à une fracture du talon droit opérée en août 2015. Le médecin relève que le recourant souffre actuellement, entre autres, d'une boiterie et d'une douleur sous-talienne. Il pronostique une stabilité au niveau de l'évolution. Au niveau du traitement, il signale que le recourant fait de la kinésithérapie et qu'il a une difficulté modérée à marcher et à se déplacer à l'extérieur, tout comme dans la réalisation des travaux ménagers. Il annonce une invalidité de catégorie 2 en ce qui concerne le retentissement sur l'emploi (OAIE doc 37) ; - une feuille annexe R à la demande de prestations AI (recours contre les tiers responsables) remplie et signée le 29 novembre 2018 par le recourant, et indiquant que l'événement ayant causé son invalidité est un accident domestique (OAIE doc 18) ; - une décision de la sécurité sociale française du 4 octobre 2018 accordant au recourant à compter du 28 août 2018 une pension d'invalidité d'un montant brut annuel de 683,19 sur la base d'un état d'invalidité réduisant des 2/3 au moins sa capacité de travail ou de gain (OAIE doc 19) ; - un formulaire E 205 CH « Attestation concernant la carrière d'assurance en Suisse » du 17 décembre 2018 (OAIE doc 38) ; - un questionnaire pour indépendant rempli le 19 décembre 2018 par le recourant, rapportant que celui-ci a créé deux entreprises respectivement en 2013 et en 2014, que l'activité exercée avant l'atteinte à la santé était une entreprise générale de chauffage à hauteur d'environ 42 heures par semaine (100 %) et l'a été jusqu'au 28 août 2015, date de l'arrêt complet du travail. Il est encore indiqué que le recourant touche une rente d'invalidité française depuis le 27 août 2018 et qu'il a cessé définitivement son activité le 2 mars 2016. Y sont joints un questionnaire à l'assuré(e), ainsi que des extraits sans radiation du registre du commerce du canton E._______ concernant la radiation de l'entreprise du recourant et l'inscription de l'autre, une cession des parts du recourant à son associé d'une des deux entreprises, des attestations de la sécurité sociale française et toute une série de certificats de formation et de travail (OAIE doc 40) ; - un questionnaire pour l'employeur du 25 janvier 2019, rempli par Q._______ SA à (...). Y sont joints une lettre de licenciement du 24 mai 2013 en raison d'une restructuration de l'entreprise, avec effet au 31 juillet 2013 et mentionnant, entre autres, le souhait du recourant de travailler à titre d'indépendant, ainsi que des certificats de salaire (OAIE doc 62) ; - un exposé d'une demande de prestations du 12 février 2019 (OAIE doc 64) ; - une prise de position médicale du SMR du 26 février 2019 (voir supra let. B.c ; OAIE doc 65) ; - des avis d'impôt français 2015 et 2017 concernant le recourant (OAIE doc 74) ; - une évaluation de l'invalidité en application de la méthode générale datée du 10 mai 2019 (OAIE doc 76) ; - une demande de changement d'adresse e-mail, de domicile ou de correspondance du 14 mai 2019 (OAIE doc 78) ; - une prise de position du service médical de l'OAIE au sujet de l'audition de la personne ci-après nommée du 2 juillet 2019 (voir supra let. B.f ; OAIE doc 84).</w:t>
      </w:r>
    </w:p>
    <w:p>
      <w:r>
        <w:rPr>
          <w:b/>
        </w:rPr>
        <w:t>E. 10</w:t>
      </w:r>
    </w:p>
    <w:p>
      <w:r>
        <w:t>La décision entreprise, qui rejette la demande de prestations de l'AI du recourant, repose sur les prises de position médicales du SMR des 26 février (OAIE doc 65) et 2 juillet 2019 (OAIE doc 84), ainsi que sur l'évaluation de l'invalidité en application de la méthode générale du 10 mai 2019 (OAIE doc 76).</w:t>
      </w:r>
    </w:p>
    <w:p>
      <w:r>
        <w:rPr>
          <w:b/>
        </w:rPr>
        <w:t>E. 10.1</w:t>
      </w:r>
    </w:p>
    <w:p>
      <w:r>
        <w:t>Il convient d'examiner dans un premier temps si les prises de position médicales susmentionnées remplissent ou pas les réquisits jurisprudentiels pour se voir reconnaître pleine valeur probante.</w:t>
      </w:r>
    </w:p>
    <w:p>
      <w:r>
        <w:rPr>
          <w:b/>
        </w:rPr>
        <w:t>E. 10.2</w:t>
      </w:r>
    </w:p>
    <w:p>
      <w:r>
        <w:t>La prise de position médicale du SMR du 26 février 2019 (OAIE doc 65) a été rédigée par le Dr C._______, soit par un médecin SMR, spécialiste FMH en médecine générale et expert certifié SIM. Ce médecin relève à raison que le recourant souffre de troubles orthopédiques se situant au niveau du pied et de la cheville droits en lien avec une fracture du calcanéum droit et un remaniement osseux douloureux. En effet, l'atteinte à la santé a pour origine un accident domestique sous forme de chute d'une hauteur de 2,50 m lors d'un saut d'un balcon. Le médecin retient comme diagnostic principal des séquelles d'une fracture du calcanéum droit (CIM-10 : S 92.0), ainsi que des diagnostics associés avec répercussion sur la capacité de travail de status après réduction sanglante et ostéosynthèse du calcanéum droit en août 2015, et sans répercussion sur la capacité de travail de status après fracture de la cheville droite dans l'enfance. A l'appui, il cite le rapport médical E 213 d'octobre 2018 du Dr B._______, médecin conseil (voir OAIE doc 7).</w:t>
      </w:r>
    </w:p>
    <w:p>
      <w:r>
        <w:rPr>
          <w:b/>
        </w:rPr>
        <w:t>E. 10.3</w:t>
      </w:r>
    </w:p>
    <w:p>
      <w:r>
        <w:t>Cependant, il ressort du dossier que les séquelles de la fracture du calcanéum droit sont mieux décrites par d'autres médecins, à savoir : - une algodystrophie (Dr G._______, rapport du 20 juillet 2016 [OAIE doc 22] ; Dresse I._______, compte-rendu du 28 février 2017 [OAIE doc 24] ; Dr H._______, rapport d'expertise du 2 juin 2017 [OAIE doc 27] ; Dr N._______, rapport du 21 juin 2018 [OIAE doc 34] ; Dr P._______, certificat médical du 7 novembre 2018 [OAIE doc 37]) ; - une arthrose active astragalo-calcanéenne et calcanéo-cuboïde (Dresse I._______, compte-rendu du 28 février 2017 [OAIE doc 24] ; Dr N._______, rapport du 21 juin 2018 [OIAE doc 34]) ; - un conflit externe par élargissement de la grosse tubérosité du calcanéum (Dr L._______, compte-rendu de consultation externe du 29 août 2017 [OAIE doc 30] et compte-rendu de consultation externe du 7 juin 2018 [OAIE doc 33]). Il n'en demeure pas moins que le Dr B._______ a mentionné brièvement les observations des principaux médecins consultés dans une rubrique intitulée « 5.6 Autres examens ». Il n'évoque toutefois pas celles faites par les Drs H._______ et N._______, et bien entendu par le Dr P._______ dans la mesure où le certificat médical de ce dernier est postérieur.</w:t>
      </w:r>
    </w:p>
    <w:p>
      <w:r>
        <w:rPr>
          <w:b/>
        </w:rPr>
        <w:t>E. 10.4</w:t>
      </w:r>
    </w:p>
    <w:p>
      <w:r>
        <w:t>Si l'on peut admettre que l'absence de mention de ces médecins par le Dr B._______, et indirectement par le Dr C._______, ne porte pas vraiment à conséquence s'agissant des atteintes à la santé du recourant, il n'en va pas de même de la question de la capacité de travail et de celle des limitations fonctionnelles.</w:t>
      </w:r>
    </w:p>
    <w:p>
      <w:r>
        <w:rPr>
          <w:b/>
        </w:rPr>
        <w:t>E. 10.4.1</w:t>
      </w:r>
    </w:p>
    <w:p>
      <w:r>
        <w:t>En effet, les Drs H._______ et P._______ sont les seuls à s'être prononcés également sur la question de l'éventuelle capacité de travail exigible du recourant. En particulier, le premier a jugé à deux reprises que l'état de santé du recourant ne lui permettait pas de reprendre une activité professionnelle quelconque lors de ses deux expertises des 20 octobre 2016 et 2 juin 2017 (OAIE docs 23, 27). Le second relève, pour sa part, que le recourant a une difficulté modérée dans la réalisation des travaux ménagers et fixe le retentissement fonctionnel, notamment le fait que le recourant a une difficulté modérée à marcher et à se déplacer à l'extérieur (OAIE doc 37).</w:t>
      </w:r>
    </w:p>
    <w:p>
      <w:r>
        <w:rPr>
          <w:b/>
        </w:rPr>
        <w:t>E. 10.4.2</w:t>
      </w:r>
    </w:p>
    <w:p>
      <w:r>
        <w:t>Or, ces opinions contradictoires sur la capacité de travail en particulier dans une activité adaptée ne sont relevées ni par le Dr B._______, ni par le médecin du SMR. Le Dr B._______ n'explique pas non plus dans son rapport médical détaillé pourquoi il arrive à la conclusion qu'une activité adaptée est exigible en plein. Le Tribunal note que ce constat peut aussi être fait à l'égard du rapport médical détaillé E 213 du 30 juillet 2018 du Dr B._______ (OAIE doc 16).</w:t>
      </w:r>
    </w:p>
    <w:p>
      <w:r>
        <w:rPr>
          <w:b/>
        </w:rPr>
        <w:t>E. 10.4.3</w:t>
      </w:r>
    </w:p>
    <w:p>
      <w:r>
        <w:t>De surcroît, c'est bien plus le Dr C._______ du SMR qui, de son propre chef, indique que l'activité adaptée est exigible dès le 3 mars 2016 et sans motiver cette conclusion (OAIE doc 65). Le Tribunal remarque que tant le recourant que le médecin SMR indiquent que le premier a cessé son activité le 2 mars 2016 (OAIE docs 40, 65). Toutefois, le recourant est censé être en arrêt de travail total depuis le 28 août 2015 (voir supra let. A).</w:t>
      </w:r>
    </w:p>
    <w:p>
      <w:r>
        <w:rPr>
          <w:b/>
        </w:rPr>
        <w:t>E. 10.4.4</w:t>
      </w:r>
    </w:p>
    <w:p>
      <w:r>
        <w:t>Il sied de constater que les médecins consultés - pour ceux qui se sont déterminés sur ce point - et du SMR sont en revanche unanimes sur le fait que l'incapacité de travail du recourant est totale dans son activité habituelle.</w:t>
      </w:r>
    </w:p>
    <w:p>
      <w:r>
        <w:rPr>
          <w:b/>
        </w:rPr>
        <w:t>E. 10.5</w:t>
      </w:r>
    </w:p>
    <w:p>
      <w:r>
        <w:t>S'agissant des limitations fonctionnelles du recourant, seul le Dr P._______ se prononce sur le retentissement fonctionnel de l'atteinte à la santé du recourant. Là aussi, le médecin du SMR, le Dr C._______, fixe des limitations fonctionnelles qui ne sont pas entièrement les mêmes et en ajoute, à savoir : position de travail assise, port de charges maximum de 10 kg, difficultés dans les déplacements, monter sur une échelle, échafaudage, monter les escaliers, terrain irrégulier. Il précise encore que l'activité adaptée est une activité légère. Il ne motive son appréciation qu'en affirmant que les renseignements médicaux sont suffisants et que les troubles du recourant sont assez graves, entraînant une diminution de mobilité de la cheville et des douleurs à l'effort, malgré des antalgiques et le port de semelle orthopédique, soulignant qu'une incapacité de travail dans toute activité lourde est médicalement justifiée. Aucune explication n'est spécifiquement donnée sur la raison qui l'incite à ajouter - sans que cela ne soit forcément infondé - des limitations fonctionnelles à celles retenues par le Dr P._______.</w:t>
      </w:r>
    </w:p>
    <w:p>
      <w:r>
        <w:rPr>
          <w:b/>
        </w:rPr>
        <w:t>E. 10.6</w:t>
      </w:r>
    </w:p>
    <w:p>
      <w:r>
        <w:t>Sur le vu de ce qui précède, et eu égard aux exigences sévères posées par le Tribunal fédéral envers ce type de rapports médicaux, la prise de position médicale du 26 février 2019 du SMR n'est pas dûment motivée lorsqu'elle s'écarte - qui plus est sans l'indiquer - des constatations d'autres médecins consultés en lien avec l'éventuelle capacité de travail dans une activité adaptée, la date de l'exigibilité médicale et les limitations fonctionnelles. Certains points litigieux importants n'ont ainsi pas été examinés et présentés à satisfaction de droit par le SMR. Il est par ailleurs rappelé qu'une instruction complémentaire sera requise s'il subsiste des doutes, même minimes, quant au bien-fondé, à la fiabilité et à la pertinence des rapports des médecins rattachés aux assureurs (ATF 139 V 225 consid. 5.2, 135 V 465 consid. 4.4, 122 V 157 consid. 1d) Elle ne peut, partant, pas se voir attribuer une pleine valeur probante.</w:t>
      </w:r>
    </w:p>
    <w:p>
      <w:r>
        <w:rPr>
          <w:b/>
        </w:rPr>
        <w:t>E. 10.7</w:t>
      </w:r>
    </w:p>
    <w:p>
      <w:r>
        <w:t>La prise de position du service médical de l'OAIE au sujet de l'audition de la personne ci-après nommée du 2 juillet 2019, également établie par le Dr C._______, ne parvient pas à pallier à ces lacunes. En effet, elle se limite à affirmer pour l'essentiel que les nouvelles informations apportées par le recourant lors de l'audition ne signalent pas de nouvelle atteinte à la santé et ne fournissent aucun élément médical objectif susceptible de laisser supposer un état de santé aggravé, ainsi qu'un examen clinique ou une expertise ne sont pas nécessaires (OAIE doc 84).</w:t>
      </w:r>
    </w:p>
    <w:p>
      <w:r>
        <w:rPr>
          <w:b/>
        </w:rPr>
        <w:t>E. 10.8</w:t>
      </w:r>
    </w:p>
    <w:p>
      <w:r>
        <w:t>Les griefs du recourant en lien avec sa capacité de travail dans une activité adaptée, ses limitations fonctionnelles et les contradictions entre médecins spécialistes en France et en Suisse sont ainsi fondés.</w:t>
      </w:r>
    </w:p>
    <w:p>
      <w:r>
        <w:rPr>
          <w:b/>
        </w:rPr>
        <w:t>E. 11.1</w:t>
      </w:r>
    </w:p>
    <w:p>
      <w:r>
        <w:t>Aussi le Tribunal n'est-il pas en mesure de se prononcer en l'état sur une éventuelle capacité de travail dans une activité adaptée, à partir de quelle date et avec quelles restrictions. Ces éléments n'ont pas été suffisamment investigués par l'autorité inférieure. Les actes au dossier, qui divergent sur les points précités, ne permettent pas non plus de les trancher, le Tribunal ne pouvant se convaincre que les faits établis par l'autorité inférieure présentent un degré de vraisemblance prépondérante.</w:t>
      </w:r>
    </w:p>
    <w:p>
      <w:r>
        <w:rPr>
          <w:b/>
        </w:rPr>
        <w:t>E. 11.2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du dossier que les questions relatives à l'éventuelle capacité de travail dans une activité adaptée du recourant, à la date de l'exigibilité médicale et, le cas échéant, les limitations fonctionnelles n'ont pas été instruites à satisfaction par l'autorité inférieure et méritent un éclaircissement.</w:t>
      </w:r>
    </w:p>
    <w:p>
      <w:r>
        <w:rPr>
          <w:b/>
        </w:rPr>
        <w:t>E. 11.3</w:t>
      </w:r>
    </w:p>
    <w:p>
      <w:r>
        <w:t>En outre, selon la jurisprudence, un renvoi à l'administration, lorsqu'il a pour but d'établir l'état de fait, ne viole ni le principe de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11.4</w:t>
      </w:r>
    </w:p>
    <w:p>
      <w:r>
        <w:t>En l'occurrence, le dossier ne contient en effet pas de rapport du SMR répondant aux exigences jurisprudentielles pour ce type de documents médicaux.</w:t>
      </w:r>
    </w:p>
    <w:p>
      <w:r>
        <w:rPr>
          <w:b/>
        </w:rPr>
        <w:t>E. 12</w:t>
      </w:r>
    </w:p>
    <w:p>
      <w:r>
        <w:t>Il résulte de ce qui précède que le recours est admis et la décision attaquée annulée. La cause est renvoyée à l'autorité inférieure pour complément d'instruction et nouvelle décision. Il est en effet nécessaire de clarifier l'éventuelle capacité de travail du recourant dans une activité adaptée, la date de l'exigibilité médicale et les limitations fonctionnelles. En particulier, l'autorité inférieure confiera l'instruction à l'autorité compétente, soit l'Office de l'assurance-invalidité du canton E._______, qui veillera à requérir des rapports récents du ou des médecins traitants du recourant et ordonnera, si besoin est, une expertise orthopédique. L'expertise sera pratiquée en Suisse, l'organisme devant maîtriser les principes d'évaluation prévalant dans la médecine d'assurance suisse (arrêt du Tribunal fédéral 9C_253/2013 du 10 septembre 2013 consid. 3.2). Le recourant étant domicilié en France, l'on ne voit de surcroît pas de motifs pour lesquels l'exécution en Suisse de cette expertise pourrait se révéler une mesure disproportionnée. En cas d'expertise, l'ensemble du dossier devra, à nouveau, être soumis au SMR pour examen Enfin, une nouvelle décision devra être prise. La demande du recourant, dans sa réplique, tendant à l'organisation d'une expertise médicale à l'AI est ainsi satisfaite.</w:t>
      </w:r>
    </w:p>
    <w:p>
      <w:r>
        <w:rPr>
          <w:b/>
        </w:rPr>
        <w:t>E. 13</w:t>
      </w:r>
    </w:p>
    <w:p>
      <w:r>
        <w:t>Etant donné que la cause est renvoyée à l'autorité inférieure pour nouvelle décision, la requête du recourant tendant à comparaître, nullement motivée, est rejetée. En effet, cette mesure d'instruction ne serait pas apte à modifier l'issue de la présente procédure et s'avère superflue.</w:t>
      </w:r>
    </w:p>
    <w:p>
      <w:r>
        <w:rPr>
          <w:b/>
        </w:rPr>
        <w:t>E. 14</w:t>
      </w:r>
    </w:p>
    <w:p>
      <w:r>
        <w:t>Cela étant, il n'est pas nécessaire d'examiner plus avant l'évaluation du taux d'invalidité du recourant telle qu'effectuée dans la décision attaquée, étant rappelé à l'autorité inférieure que le recourant a travaillé en dernier lieu en tant qu'indépendant. De plus, le Tribunal attire l'attention de l'autorité inférieure sur le fait qu'avant d'analyser le droit à une rente d'invalidité du recourant, celle-ci doit d'abord examiner un éventuel droit à des mesures d'ordre professionnel, compte tenu du principe de la priorité de la réadaptation sur la rente (cf. ATF 132 V 244 consid. 6.4.1 et les références). Les autres griefs du recourant quant à l'impossibilité de travailler en Suisse du moment qu'il perçoit une rente pour incapacité de travail en France, à son âge avancé, à son manque à gagner, à ses difficultés à subvenir à ses besoins avec 56.- n'ont pas non plus à être traités ici.</w:t>
      </w:r>
    </w:p>
    <w:p>
      <w:r>
        <w:rPr>
          <w:b/>
        </w:rPr>
        <w:t>E. 15</w:t>
      </w:r>
    </w:p>
    <w:p>
      <w:r>
        <w:t>Il est aussi rappelé que les décisions prises par la sécurité sociale françaises ne lient pas les autorités suisses, le droit à des prestations de l'AI se déterminant exclusivement d'après le droit suisse (voir supra consid. 4.1.1).</w:t>
      </w:r>
    </w:p>
    <w:p>
      <w:r>
        <w:rPr>
          <w:b/>
        </w:rPr>
        <w:t>E. 16.1</w:t>
      </w:r>
    </w:p>
    <w:p>
      <w:r>
        <w:t>Vu l'issue du litige, le recourant ne doit pas participer aux frais de procédure (cf.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Par conséquent, l'avance de frais de Fr. 800.- versée (cf. TAF pce 5) sera restituée au recourant une fois le présent arrêt entré en force. Aucun frais de procédure n'est mis à la charge de l'autorité inférieure (art. 63 al. 1 et 2 PA).</w:t>
      </w:r>
    </w:p>
    <w:p>
      <w:r>
        <w:rPr>
          <w:b/>
        </w:rPr>
        <w:t>E. 16.2</w:t>
      </w:r>
    </w:p>
    <w:p>
      <w:r>
        <w:t>En outre, le recourant ayant agi sans avoir eu recours à un représentant et n'ayant pas démontré avoir eu à supporter des frais indispensables et relativement élevés, il ne lui est pas alloué une indemnité à titre de dépens (art. 64 al. 1 PA et 7 ss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