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C-3962/2015 vom 4. November 2015</w:t>
      </w:r>
    </w:p>
    <w:p>
      <w:r>
        <w:t>Bundesverwaltungsgericht, 2015-11-04, FR</w:t>
      </w:r>
    </w:p>
    <w:p>
      <w:r>
        <w:rPr>
          <w:b/>
        </w:rPr>
        <w:t xml:space="preserve">Quelle: </w:t>
      </w:r>
      <w:r>
        <w:t>https://mcp.opencaselaw.ch/entscheid/bvger_C-3962_2015</w:t>
      </w:r>
    </w:p>
    <w:p>
      <w:r>
        <w:t>FR: TAF C-3962/2015 du 4 novembre 2015</w:t>
      </w:r>
    </w:p>
    <w:p>
      <w:r>
        <w:t>IT: TAF C-3962/2015 del 4 novembre 2015</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i LTAF et l'art. 85bis al. 1 de la loi fédérale du 20 décembre 1946 sur l'assurance-vieillesse et survivants (LAVS, RS 831.10) connaît des recours interjetés par des personnes résidant à l'étranger contre les décisions prises par une caisse de compensation (ATAF 2008/52 consid. 1.3).</w:t>
      </w:r>
    </w:p>
    <w:p>
      <w:r>
        <w:rPr>
          <w:b/>
        </w:rPr>
        <w:t>E. 1.2</w:t>
      </w:r>
    </w:p>
    <w:p>
      <w:r>
        <w:t>Selon l'art. 200 du règlement sur l'assurance-vieillesse et survivants (RAVS, RS 831.101), si un recourant qui est obligatoirement assuré est domicilié à l'étranger, le tribunal des assurances du canton dans lequel l'employeur de l'assuré a son siège est compétent pour connaître du recours. In casu le recourant n'étant plus obligatoirement assuré au moment du dépôt du recours, la disposition n'est pas applicable.</w:t>
      </w:r>
    </w:p>
    <w:p>
      <w:r>
        <w:rPr>
          <w:b/>
        </w:rPr>
        <w:t>E. 1.3</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1.4</w:t>
      </w:r>
    </w:p>
    <w:p>
      <w:r>
        <w:t>Selon l'art. 59 LPGA, quiconque est touché par la décision ou la décision sur opposition et a un intérêt digne de protection à ce qu'elle soit annulée ou modifiée a qualité pour recourir.</w:t>
      </w:r>
    </w:p>
    <w:p>
      <w:r>
        <w:rPr>
          <w:b/>
        </w:rPr>
        <w:t>E. 1.5</w:t>
      </w:r>
    </w:p>
    <w:p>
      <w:r>
        <w:t>Déposé en temps utile et dans les formes requises par la loi (art. 60 LPGA et 52 PA), le recours est recevable dans la mesure de sa recevabilité (cf. consid. 9).</w:t>
      </w:r>
    </w:p>
    <w:p>
      <w:r>
        <w:rPr>
          <w:b/>
        </w:rPr>
        <w:t>E. 2</w:t>
      </w:r>
    </w:p>
    <w:p>
      <w:r>
        <w:t>Selon l'art. 21 LAVS, ont droit à une rente de vieillesse les hommes qui ont atteint 65 ans révolus et les femmes qui ont atteint 64 ans révolus. Le droit prend naissance le premier jour du mois suivant celui où a été atteint l'âge prescrit. Les art. 39 et 40 LAVS relatifs à l'âge flexible de la rente sont réservés.</w:t>
      </w:r>
    </w:p>
    <w:p>
      <w:r>
        <w:rPr>
          <w:b/>
        </w:rPr>
        <w:t>E. 3</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w:t>
      </w:r>
    </w:p>
    <w:p>
      <w:r>
        <w:rPr>
          <w:b/>
        </w:rPr>
        <w:t>E. 5</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w:t>
      </w:r>
    </w:p>
    <w:p>
      <w:r>
        <w:rPr>
          <w:b/>
        </w:rPr>
        <w:t>E. 6.1</w:t>
      </w:r>
    </w:p>
    <w:p>
      <w:r>
        <w:t>Pour chaque assuré tenu de payer des cotisations sont établis des comptes individuels (CI) où sont portées les indications nécessaires au calcul des rentes ordinaires. Le Conseil fédéral en a réglé les détails (art. 30ter al. 1 LAVS, 133 ss, spéc. 137 RAVS). Lors de la fixation des rentes, les caisses de compensation doivent se fonder sur les indications contenues dans les comptes individuels (cf. l'art. 68 al. 2 RAVS; Michel Valterio, Droit de l'assurance-vieillesse et survivants [AVS] et de l'assurance-invalidité [AI], 2011, n° 920).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6.2</w:t>
      </w:r>
    </w:p>
    <w:p>
      <w:r>
        <w:t>Selon la jurisprudence, il convient, pour des motifs de sécurité du droit,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TF H 193/04 du 11 janvier 2006 consid. 2). Il n'existe par ailleurs pas, en droit des assurances sociales, un principe selon lequel l'administration ou le juge devrait statuer, dans le doute, en faveur de l'assuré (ATF 126 V 319 consid. 5a; arrêt du TF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w:t>
      </w:r>
    </w:p>
    <w:p>
      <w:r>
        <w:rPr>
          <w:b/>
        </w:rPr>
        <w:t>E. 6.3</w:t>
      </w:r>
    </w:p>
    <w:p>
      <w:r>
        <w:t>L'art. 30ter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c'est-à-dire lorsque l'employeur prend en charge la totalité des cotisations sociales à sa charge. La preuve absolue de la retenue de cotisations sociales, ou d'une convention de salaire net, doit être apportée (ATF 117 V 265 consid. 3.1). La preuve d'une relation de travail n'est pas suffisante (ATF 130 V 335 consid. 4.1).</w:t>
      </w:r>
    </w:p>
    <w:p>
      <w:r>
        <w:rPr>
          <w:b/>
        </w:rPr>
        <w:t>E. 7</w:t>
      </w:r>
    </w:p>
    <w:p>
      <w:r>
        <w:t>En l'espèce le recourant n'a pas apporté de document indiquant le versement effectif de salaires faisant mention de retenues de cotisations sociales. Il a certes apporté des éléments de preuve établissant l'existence d'une relation de travail mais conformément à la jurisprudence ces éléments de preuve ne sont pas suffisants (ATF 130 V 335 cité). Il s'ensuit que c'est à juste titre que la Caisse CICICAM CINALFA n'a pu porter sur son CI l'indication de cotisations sociales en application de l'art. 30ter al. 2 LAVS. Le rejet de la demande de rectification du CI de l'intéressé doit dès lors être confirmé.</w:t>
      </w:r>
    </w:p>
    <w:p>
      <w:r>
        <w:rPr>
          <w:b/>
        </w:rPr>
        <w:t>E. 8</w:t>
      </w:r>
    </w:p>
    <w:p>
      <w:r>
        <w:t>En réponse à la requête d'information du recourant dans ses écritures, il sied de relever que l'assurance-vieillesse et survivants AVS est une assurance allouant des prestations sur la base de cotisations perçues et de la réalisation de cas d'assurance et non une institution d'assistance sociale. Elle n'alloue en conséquence pas de prestations d'assistance pour cas de rigueur.</w:t>
      </w:r>
    </w:p>
    <w:p>
      <w:r>
        <w:rPr>
          <w:b/>
        </w:rPr>
        <w:t>E. 9.1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p. 414; arrêt du TF 9C_678/2011 du 4 janvier 2012 consid. 3.1).</w:t>
      </w:r>
    </w:p>
    <w:p>
      <w:r>
        <w:rPr>
          <w:b/>
        </w:rPr>
        <w:t>E. 9.2</w:t>
      </w:r>
    </w:p>
    <w:p>
      <w:r>
        <w:t>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63, ATF 122 V 36 consid. 2a p.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(Fritz Gygi, Bundesverwaltungsrechtspflege, 2ème éd., Berne 1983, p. 43) et les droits procéduraux des parties doivent être respectés (Ulrich Meyer / Isabel von Zwehl, L'objet du litige en procédure de droit administratif fédéral, in Mélanges Pierre Moor, Berne 2005, n° 27 p. 446; arrêt du TF 9C_678/2011 du 4 janvier 2012 consid. 3.1).</w:t>
      </w:r>
    </w:p>
    <w:p>
      <w:r>
        <w:rPr>
          <w:b/>
        </w:rPr>
        <w:t>E. 9.3</w:t>
      </w:r>
    </w:p>
    <w:p>
      <w:r>
        <w:t>Le présent arrêt se détermine sur la demande de rectification du CI de l'intéressé auprès de la Caisse CICICAM CINALFA dont la décision de rejet de la demande est confirmée. L'arrêt ne se détermine pas sur le droit de l'intéressé à une éventuelle rente de vieillesse, voire à un éventuel droit au remboursement de ses cotisations AVS, eu égard à ses périodes de cotisation. Une décision afférente en matière de prestation de vieillesse ou de remboursement de cotisation n'a pas été rendue par l'autorité inférieure et ne pourrait d'ailleurs être rendue, vu le domicile de l'intéressé en Belgique, que par la Caisse suisse de compensation (CSC) à Genève qui a la charge d'instruire une demande de rente par une personne domiciliée à l'étranger et de collecter l'ensemble des cotisations de la personne requérante.</w:t>
      </w:r>
    </w:p>
    <w:p>
      <w:r>
        <w:rPr>
          <w:b/>
        </w:rPr>
        <w:t>E. 9.4</w:t>
      </w:r>
    </w:p>
    <w:p>
      <w:r>
        <w:t>Il appert du dossier que l'intéressé a cotisé en Suisse du 1er mars au 30 juin 2009 au moins (selon la fiche de salaire au dossier du 8 janvier 2010 du 1er février au 30 juin 2009; selon l'extrait de compte CI de mars à juillet 2009). Aux fins de permettre au recourant de connaître s'il a droit à une rente de vieillesse compte tenu éventuellement d'autres périodes de cotisations, il se justifie de transmettre le présent arrêt et le dossier de la cause une fois le présent arrêt entré en force à la CSC avec l'invitation faite à cette caisse d'ouvrir une instruction de demande de rente de vieillesse.</w:t>
      </w:r>
    </w:p>
    <w:p>
      <w:r>
        <w:rPr>
          <w:b/>
        </w:rPr>
        <w:t>E. 10</w:t>
      </w:r>
    </w:p>
    <w:p>
      <w:r>
        <w:t>Vu ce qui précède le recours manifestement infondé est rejeté dans la mesure de sa recevabilité et la décision attaquée confirmée dans une procédure à juge unique en application de l'art. 85bis al. 3 LAVS en relation avec l'art. 23 al. 2 LTAF. Il n'est pas perçu de frais de procédure (art. 85bis al. 2 LAVS) ni, vu l'issue de la procédure, alloué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